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732" w:rsidRPr="005C1AFE" w:rsidRDefault="00BB7732" w:rsidP="00BB7732">
      <w:pPr>
        <w:spacing w:before="120" w:after="0" w:line="240" w:lineRule="auto"/>
        <w:jc w:val="center"/>
        <w:rPr>
          <w:rFonts w:eastAsia="Times New Roman" w:cs="Times New Roman"/>
          <w:color w:val="000000"/>
          <w:szCs w:val="22"/>
        </w:rPr>
      </w:pPr>
      <w:bookmarkStart w:id="0" w:name="_GoBack"/>
      <w:r w:rsidRPr="005C1AFE">
        <w:rPr>
          <w:rFonts w:eastAsia="Times New Roman" w:cs="Times New Roman"/>
          <w:b/>
          <w:bCs/>
          <w:color w:val="000000"/>
          <w:szCs w:val="22"/>
          <w:lang w:val="vi-VN"/>
        </w:rPr>
        <w:t>PHỤ LỤC SỐ 02</w:t>
      </w:r>
    </w:p>
    <w:bookmarkEnd w:id="0"/>
    <w:p w:rsidR="00BB7732" w:rsidRPr="00BB7732" w:rsidRDefault="00BB7732" w:rsidP="00BB7732">
      <w:pPr>
        <w:spacing w:before="120" w:after="0" w:line="240" w:lineRule="auto"/>
        <w:jc w:val="center"/>
        <w:rPr>
          <w:rFonts w:eastAsia="Times New Roman" w:cs="Times New Roman"/>
          <w:color w:val="000000"/>
          <w:sz w:val="20"/>
        </w:rPr>
      </w:pPr>
      <w:r w:rsidRPr="00BB7732">
        <w:rPr>
          <w:rFonts w:eastAsia="Times New Roman" w:cs="Times New Roman"/>
          <w:color w:val="000000"/>
          <w:sz w:val="20"/>
          <w:lang w:val="vi-VN"/>
        </w:rPr>
        <w:t>TIÊU CHÍ ĐÁNH GIÁ ĐỐI VỚI NHÀ CHUNG CƯ HẠNG B</w:t>
      </w:r>
      <w:r w:rsidRPr="00BB7732">
        <w:rPr>
          <w:rFonts w:eastAsia="Times New Roman" w:cs="Times New Roman"/>
          <w:color w:val="000000"/>
          <w:sz w:val="20"/>
        </w:rPr>
        <w:br/>
      </w:r>
      <w:r w:rsidRPr="00BB7732">
        <w:rPr>
          <w:rFonts w:eastAsia="Times New Roman" w:cs="Times New Roman"/>
          <w:i/>
          <w:iCs/>
          <w:color w:val="000000"/>
          <w:sz w:val="20"/>
          <w:lang w:val="vi-VN"/>
        </w:rPr>
        <w:t>(Ban hành kèm theo Thông tư s</w:t>
      </w:r>
      <w:r w:rsidRPr="00BB7732">
        <w:rPr>
          <w:rFonts w:eastAsia="Times New Roman" w:cs="Times New Roman"/>
          <w:i/>
          <w:iCs/>
          <w:color w:val="000000"/>
          <w:sz w:val="20"/>
        </w:rPr>
        <w:t>ố</w:t>
      </w:r>
      <w:r w:rsidRPr="00BB7732">
        <w:rPr>
          <w:rFonts w:eastAsia="Times New Roman" w:cs="Times New Roman"/>
          <w:i/>
          <w:iCs/>
          <w:color w:val="000000"/>
          <w:sz w:val="20"/>
          <w:lang w:val="vi-VN"/>
        </w:rPr>
        <w:t xml:space="preserve"> 3</w:t>
      </w:r>
      <w:r w:rsidRPr="00BB7732">
        <w:rPr>
          <w:rFonts w:eastAsia="Times New Roman" w:cs="Times New Roman"/>
          <w:i/>
          <w:iCs/>
          <w:color w:val="000000"/>
          <w:sz w:val="20"/>
        </w:rPr>
        <w:t>1</w:t>
      </w:r>
      <w:r w:rsidRPr="00BB7732">
        <w:rPr>
          <w:rFonts w:eastAsia="Times New Roman" w:cs="Times New Roman"/>
          <w:i/>
          <w:iCs/>
          <w:color w:val="000000"/>
          <w:sz w:val="20"/>
          <w:lang w:val="vi-VN"/>
        </w:rPr>
        <w:t>/20</w:t>
      </w:r>
      <w:r w:rsidRPr="00BB7732">
        <w:rPr>
          <w:rFonts w:eastAsia="Times New Roman" w:cs="Times New Roman"/>
          <w:i/>
          <w:iCs/>
          <w:color w:val="000000"/>
          <w:sz w:val="20"/>
        </w:rPr>
        <w:t>1</w:t>
      </w:r>
      <w:r w:rsidRPr="00BB7732">
        <w:rPr>
          <w:rFonts w:eastAsia="Times New Roman" w:cs="Times New Roman"/>
          <w:i/>
          <w:iCs/>
          <w:color w:val="000000"/>
          <w:sz w:val="20"/>
          <w:lang w:val="vi-VN"/>
        </w:rPr>
        <w:t xml:space="preserve">6/TT-BXD ngày 30 tháng </w:t>
      </w:r>
      <w:r w:rsidRPr="00BB7732">
        <w:rPr>
          <w:rFonts w:eastAsia="Times New Roman" w:cs="Times New Roman"/>
          <w:i/>
          <w:iCs/>
          <w:color w:val="000000"/>
          <w:sz w:val="20"/>
        </w:rPr>
        <w:t>1</w:t>
      </w:r>
      <w:r w:rsidRPr="00BB7732">
        <w:rPr>
          <w:rFonts w:eastAsia="Times New Roman" w:cs="Times New Roman"/>
          <w:i/>
          <w:iCs/>
          <w:color w:val="000000"/>
          <w:sz w:val="20"/>
          <w:lang w:val="vi-VN"/>
        </w:rPr>
        <w:t>2 năm 20</w:t>
      </w:r>
      <w:r w:rsidRPr="00BB7732">
        <w:rPr>
          <w:rFonts w:eastAsia="Times New Roman" w:cs="Times New Roman"/>
          <w:i/>
          <w:iCs/>
          <w:color w:val="000000"/>
          <w:sz w:val="20"/>
        </w:rPr>
        <w:t>1</w:t>
      </w:r>
      <w:r w:rsidRPr="00BB7732">
        <w:rPr>
          <w:rFonts w:eastAsia="Times New Roman" w:cs="Times New Roman"/>
          <w:i/>
          <w:iCs/>
          <w:color w:val="000000"/>
          <w:sz w:val="20"/>
          <w:lang w:val="vi-VN"/>
        </w:rPr>
        <w:t>6 của Bộ trưởng Bộ Xây dựng)</w:t>
      </w:r>
    </w:p>
    <w:p w:rsidR="00BB7732" w:rsidRPr="00BB7732" w:rsidRDefault="00BB7732" w:rsidP="00BB7732">
      <w:pPr>
        <w:spacing w:before="120" w:after="0" w:line="240" w:lineRule="auto"/>
        <w:rPr>
          <w:rFonts w:eastAsia="Times New Roman" w:cs="Times New Roman"/>
          <w:color w:val="000000"/>
          <w:sz w:val="20"/>
        </w:rPr>
      </w:pPr>
      <w:r w:rsidRPr="00BB7732">
        <w:rPr>
          <w:rFonts w:eastAsia="Times New Roman" w:cs="Times New Roman"/>
          <w:b/>
          <w:bCs/>
          <w:color w:val="000000"/>
          <w:sz w:val="20"/>
          <w:lang w:val="vi-VN"/>
        </w:rPr>
        <w:t>I. Quy hoạch - Kiến trúc</w:t>
      </w:r>
    </w:p>
    <w:tbl>
      <w:tblPr>
        <w:tblW w:w="0" w:type="auto"/>
        <w:tblCellMar>
          <w:left w:w="0" w:type="dxa"/>
          <w:right w:w="0" w:type="dxa"/>
        </w:tblCellMar>
        <w:tblLook w:val="04A0" w:firstRow="1" w:lastRow="0" w:firstColumn="1" w:lastColumn="0" w:noHBand="0" w:noVBand="1"/>
      </w:tblPr>
      <w:tblGrid>
        <w:gridCol w:w="2628"/>
        <w:gridCol w:w="6228"/>
      </w:tblGrid>
      <w:tr w:rsidR="00BB7732" w:rsidRPr="00BB7732" w:rsidTr="00BB7732">
        <w:tc>
          <w:tcPr>
            <w:tcW w:w="2628" w:type="dxa"/>
            <w:tcMar>
              <w:top w:w="0" w:type="dxa"/>
              <w:left w:w="108" w:type="dxa"/>
              <w:bottom w:w="0" w:type="dxa"/>
              <w:right w:w="108" w:type="dxa"/>
            </w:tcMar>
            <w:hideMark/>
          </w:tcPr>
          <w:p w:rsidR="00BB7732" w:rsidRPr="00BB7732" w:rsidRDefault="00BB7732" w:rsidP="00BB7732">
            <w:pPr>
              <w:spacing w:before="120" w:after="0" w:line="240" w:lineRule="auto"/>
              <w:rPr>
                <w:rFonts w:eastAsia="Times New Roman" w:cs="Times New Roman"/>
                <w:color w:val="000000"/>
                <w:sz w:val="20"/>
              </w:rPr>
            </w:pPr>
            <w:r w:rsidRPr="00BB7732">
              <w:rPr>
                <w:rFonts w:eastAsia="Times New Roman" w:cs="Times New Roman"/>
                <w:color w:val="000000"/>
                <w:sz w:val="20"/>
                <w:lang w:val="vi-VN"/>
              </w:rPr>
              <w:t>1. Vị trí:</w:t>
            </w:r>
          </w:p>
        </w:tc>
        <w:tc>
          <w:tcPr>
            <w:tcW w:w="6228" w:type="dxa"/>
            <w:tcMar>
              <w:top w:w="0" w:type="dxa"/>
              <w:left w:w="108" w:type="dxa"/>
              <w:bottom w:w="0" w:type="dxa"/>
              <w:right w:w="108" w:type="dxa"/>
            </w:tcMar>
            <w:hideMark/>
          </w:tcPr>
          <w:p w:rsidR="00BB7732" w:rsidRPr="00BB7732" w:rsidRDefault="00BB7732" w:rsidP="00BB7732">
            <w:pPr>
              <w:spacing w:before="120" w:after="0" w:line="240" w:lineRule="auto"/>
              <w:rPr>
                <w:rFonts w:eastAsia="Times New Roman" w:cs="Times New Roman"/>
                <w:color w:val="000000"/>
                <w:sz w:val="20"/>
              </w:rPr>
            </w:pPr>
            <w:r w:rsidRPr="00BB7732">
              <w:rPr>
                <w:rFonts w:eastAsia="Times New Roman" w:cs="Times New Roman"/>
                <w:color w:val="000000"/>
                <w:sz w:val="20"/>
                <w:lang w:val="vi-VN"/>
              </w:rPr>
              <w:t>Có hệ thống giao thông thuận tiện, cách đường phố chính (cấp đô thị, cấp khu vực) dưới 0,5 km; có thể tiếp cận phương tiện giao thông công cộng đô thị (cách ga, bến đỗ, trạm dừng xe bus, tàu điện ngầm, tàu điện trên cao) trong phạm vi dưới 1 km.</w:t>
            </w:r>
          </w:p>
        </w:tc>
      </w:tr>
      <w:tr w:rsidR="00BB7732" w:rsidRPr="00BB7732" w:rsidTr="00BB7732">
        <w:tc>
          <w:tcPr>
            <w:tcW w:w="2628" w:type="dxa"/>
            <w:tcMar>
              <w:top w:w="0" w:type="dxa"/>
              <w:left w:w="108" w:type="dxa"/>
              <w:bottom w:w="0" w:type="dxa"/>
              <w:right w:w="108" w:type="dxa"/>
            </w:tcMar>
            <w:hideMark/>
          </w:tcPr>
          <w:p w:rsidR="00BB7732" w:rsidRPr="00BB7732" w:rsidRDefault="00BB7732" w:rsidP="00BB7732">
            <w:pPr>
              <w:spacing w:before="120" w:after="0" w:line="240" w:lineRule="auto"/>
              <w:rPr>
                <w:rFonts w:eastAsia="Times New Roman" w:cs="Times New Roman"/>
                <w:color w:val="000000"/>
                <w:sz w:val="20"/>
              </w:rPr>
            </w:pPr>
            <w:r w:rsidRPr="00BB7732">
              <w:rPr>
                <w:rFonts w:eastAsia="Times New Roman" w:cs="Times New Roman"/>
                <w:color w:val="000000"/>
                <w:sz w:val="20"/>
                <w:lang w:val="vi-VN"/>
              </w:rPr>
              <w:t>2. Mật độ xây dựng</w:t>
            </w:r>
          </w:p>
        </w:tc>
        <w:tc>
          <w:tcPr>
            <w:tcW w:w="6228" w:type="dxa"/>
            <w:tcMar>
              <w:top w:w="0" w:type="dxa"/>
              <w:left w:w="108" w:type="dxa"/>
              <w:bottom w:w="0" w:type="dxa"/>
              <w:right w:w="108" w:type="dxa"/>
            </w:tcMar>
            <w:hideMark/>
          </w:tcPr>
          <w:p w:rsidR="00BB7732" w:rsidRPr="00BB7732" w:rsidRDefault="00BB7732" w:rsidP="00BB7732">
            <w:pPr>
              <w:spacing w:before="120" w:after="0" w:line="240" w:lineRule="auto"/>
              <w:rPr>
                <w:rFonts w:eastAsia="Times New Roman" w:cs="Times New Roman"/>
                <w:color w:val="000000"/>
                <w:sz w:val="20"/>
              </w:rPr>
            </w:pPr>
            <w:r w:rsidRPr="00BB7732">
              <w:rPr>
                <w:rFonts w:eastAsia="Times New Roman" w:cs="Times New Roman"/>
                <w:color w:val="000000"/>
                <w:sz w:val="20"/>
                <w:lang w:val="vi-VN"/>
              </w:rPr>
              <w:t>Mật độ xây dựng (diện tích chiếm đất công trình) không quá 55%.</w:t>
            </w:r>
          </w:p>
        </w:tc>
      </w:tr>
      <w:tr w:rsidR="00BB7732" w:rsidRPr="00BB7732" w:rsidTr="00BB7732">
        <w:tc>
          <w:tcPr>
            <w:tcW w:w="2628" w:type="dxa"/>
            <w:tcMar>
              <w:top w:w="0" w:type="dxa"/>
              <w:left w:w="108" w:type="dxa"/>
              <w:bottom w:w="0" w:type="dxa"/>
              <w:right w:w="108" w:type="dxa"/>
            </w:tcMar>
            <w:hideMark/>
          </w:tcPr>
          <w:p w:rsidR="00BB7732" w:rsidRPr="00BB7732" w:rsidRDefault="00BB7732" w:rsidP="00BB7732">
            <w:pPr>
              <w:spacing w:before="120" w:after="0" w:line="240" w:lineRule="auto"/>
              <w:rPr>
                <w:rFonts w:eastAsia="Times New Roman" w:cs="Times New Roman"/>
                <w:color w:val="000000"/>
                <w:sz w:val="20"/>
              </w:rPr>
            </w:pPr>
            <w:r w:rsidRPr="00BB7732">
              <w:rPr>
                <w:rFonts w:eastAsia="Times New Roman" w:cs="Times New Roman"/>
                <w:color w:val="000000"/>
                <w:sz w:val="20"/>
                <w:lang w:val="vi-VN"/>
              </w:rPr>
              <w:t>3. Sảnh căn hộ</w:t>
            </w:r>
          </w:p>
        </w:tc>
        <w:tc>
          <w:tcPr>
            <w:tcW w:w="6228" w:type="dxa"/>
            <w:tcMar>
              <w:top w:w="0" w:type="dxa"/>
              <w:left w:w="108" w:type="dxa"/>
              <w:bottom w:w="0" w:type="dxa"/>
              <w:right w:w="108" w:type="dxa"/>
            </w:tcMar>
            <w:hideMark/>
          </w:tcPr>
          <w:p w:rsidR="00BB7732" w:rsidRPr="00BB7732" w:rsidRDefault="00BB7732" w:rsidP="00BB7732">
            <w:pPr>
              <w:spacing w:before="120" w:after="0" w:line="240" w:lineRule="auto"/>
              <w:rPr>
                <w:rFonts w:eastAsia="Times New Roman" w:cs="Times New Roman"/>
                <w:color w:val="000000"/>
                <w:sz w:val="20"/>
              </w:rPr>
            </w:pPr>
            <w:r w:rsidRPr="00BB7732">
              <w:rPr>
                <w:rFonts w:eastAsia="Times New Roman" w:cs="Times New Roman"/>
                <w:color w:val="000000"/>
                <w:sz w:val="20"/>
                <w:lang w:val="vi-VN"/>
              </w:rPr>
              <w:t xml:space="preserve">Sảnh chính khu căn hộ được bố trí độc lập với lối vào khu vực để xe, khu vực </w:t>
            </w:r>
            <w:r w:rsidRPr="00BB7732">
              <w:rPr>
                <w:rFonts w:eastAsia="Times New Roman" w:cs="Times New Roman"/>
                <w:color w:val="000000"/>
                <w:sz w:val="20"/>
              </w:rPr>
              <w:t>d</w:t>
            </w:r>
            <w:r w:rsidRPr="00BB7732">
              <w:rPr>
                <w:rFonts w:eastAsia="Times New Roman" w:cs="Times New Roman"/>
                <w:color w:val="000000"/>
                <w:sz w:val="20"/>
                <w:lang w:val="vi-VN"/>
              </w:rPr>
              <w:t>ịch vụ, thương mại và khu vực công cộng khác.</w:t>
            </w:r>
          </w:p>
        </w:tc>
      </w:tr>
      <w:tr w:rsidR="00BB7732" w:rsidRPr="00BB7732" w:rsidTr="00BB7732">
        <w:tc>
          <w:tcPr>
            <w:tcW w:w="2628" w:type="dxa"/>
            <w:tcMar>
              <w:top w:w="0" w:type="dxa"/>
              <w:left w:w="108" w:type="dxa"/>
              <w:bottom w:w="0" w:type="dxa"/>
              <w:right w:w="108" w:type="dxa"/>
            </w:tcMar>
            <w:hideMark/>
          </w:tcPr>
          <w:p w:rsidR="00BB7732" w:rsidRPr="00BB7732" w:rsidRDefault="00BB7732" w:rsidP="00BB7732">
            <w:pPr>
              <w:spacing w:before="120" w:after="0" w:line="240" w:lineRule="auto"/>
              <w:rPr>
                <w:rFonts w:eastAsia="Times New Roman" w:cs="Times New Roman"/>
                <w:color w:val="000000"/>
                <w:sz w:val="20"/>
              </w:rPr>
            </w:pPr>
            <w:r w:rsidRPr="00BB7732">
              <w:rPr>
                <w:rFonts w:eastAsia="Times New Roman" w:cs="Times New Roman"/>
                <w:color w:val="000000"/>
                <w:sz w:val="20"/>
                <w:lang w:val="vi-VN"/>
              </w:rPr>
              <w:t>4. Hành lang</w:t>
            </w:r>
          </w:p>
        </w:tc>
        <w:tc>
          <w:tcPr>
            <w:tcW w:w="6228" w:type="dxa"/>
            <w:tcMar>
              <w:top w:w="0" w:type="dxa"/>
              <w:left w:w="108" w:type="dxa"/>
              <w:bottom w:w="0" w:type="dxa"/>
              <w:right w:w="108" w:type="dxa"/>
            </w:tcMar>
            <w:hideMark/>
          </w:tcPr>
          <w:p w:rsidR="00BB7732" w:rsidRPr="00BB7732" w:rsidRDefault="00BB7732" w:rsidP="00BB7732">
            <w:pPr>
              <w:spacing w:before="120" w:after="0" w:line="240" w:lineRule="auto"/>
              <w:rPr>
                <w:rFonts w:eastAsia="Times New Roman" w:cs="Times New Roman"/>
                <w:color w:val="000000"/>
                <w:sz w:val="20"/>
              </w:rPr>
            </w:pPr>
            <w:r w:rsidRPr="00BB7732">
              <w:rPr>
                <w:rFonts w:eastAsia="Times New Roman" w:cs="Times New Roman"/>
                <w:color w:val="000000"/>
                <w:sz w:val="20"/>
                <w:lang w:val="vi-VN"/>
              </w:rPr>
              <w:t>Hành lang c</w:t>
            </w:r>
            <w:r w:rsidRPr="00BB7732">
              <w:rPr>
                <w:rFonts w:eastAsia="Times New Roman" w:cs="Times New Roman"/>
                <w:color w:val="000000"/>
                <w:sz w:val="20"/>
              </w:rPr>
              <w:t>ă</w:t>
            </w:r>
            <w:r w:rsidRPr="00BB7732">
              <w:rPr>
                <w:rFonts w:eastAsia="Times New Roman" w:cs="Times New Roman"/>
                <w:color w:val="000000"/>
                <w:sz w:val="20"/>
                <w:lang w:val="vi-VN"/>
              </w:rPr>
              <w:t>n hộ có chiều rộng tối thiểu 1,5 m.</w:t>
            </w:r>
          </w:p>
        </w:tc>
      </w:tr>
      <w:tr w:rsidR="00BB7732" w:rsidRPr="00BB7732" w:rsidTr="00BB7732">
        <w:tc>
          <w:tcPr>
            <w:tcW w:w="2628" w:type="dxa"/>
            <w:tcMar>
              <w:top w:w="0" w:type="dxa"/>
              <w:left w:w="108" w:type="dxa"/>
              <w:bottom w:w="0" w:type="dxa"/>
              <w:right w:w="108" w:type="dxa"/>
            </w:tcMar>
            <w:hideMark/>
          </w:tcPr>
          <w:p w:rsidR="00BB7732" w:rsidRPr="00BB7732" w:rsidRDefault="00BB7732" w:rsidP="00BB7732">
            <w:pPr>
              <w:spacing w:before="120" w:after="0" w:line="240" w:lineRule="auto"/>
              <w:rPr>
                <w:rFonts w:eastAsia="Times New Roman" w:cs="Times New Roman"/>
                <w:color w:val="000000"/>
                <w:sz w:val="20"/>
              </w:rPr>
            </w:pPr>
            <w:r w:rsidRPr="00BB7732">
              <w:rPr>
                <w:rFonts w:eastAsia="Times New Roman" w:cs="Times New Roman"/>
                <w:color w:val="000000"/>
                <w:sz w:val="20"/>
                <w:lang w:val="vi-VN"/>
              </w:rPr>
              <w:t>5. Diện tích căn hộ</w:t>
            </w:r>
          </w:p>
        </w:tc>
        <w:tc>
          <w:tcPr>
            <w:tcW w:w="6228" w:type="dxa"/>
            <w:tcMar>
              <w:top w:w="0" w:type="dxa"/>
              <w:left w:w="108" w:type="dxa"/>
              <w:bottom w:w="0" w:type="dxa"/>
              <w:right w:w="108" w:type="dxa"/>
            </w:tcMar>
            <w:hideMark/>
          </w:tcPr>
          <w:p w:rsidR="00BB7732" w:rsidRPr="00BB7732" w:rsidRDefault="00BB7732" w:rsidP="00BB7732">
            <w:pPr>
              <w:spacing w:before="120" w:after="0" w:line="240" w:lineRule="auto"/>
              <w:rPr>
                <w:rFonts w:eastAsia="Times New Roman" w:cs="Times New Roman"/>
                <w:color w:val="000000"/>
                <w:sz w:val="20"/>
              </w:rPr>
            </w:pPr>
            <w:r w:rsidRPr="00BB7732">
              <w:rPr>
                <w:rFonts w:eastAsia="Times New Roman" w:cs="Times New Roman"/>
                <w:color w:val="000000"/>
                <w:sz w:val="20"/>
                <w:lang w:val="vi-VN"/>
              </w:rPr>
              <w:t xml:space="preserve">Bình quân diện tích sử dụng căn hộ </w:t>
            </w:r>
            <w:r w:rsidRPr="00BB7732">
              <w:rPr>
                <w:rFonts w:eastAsia="Times New Roman" w:cs="Times New Roman"/>
                <w:color w:val="000000"/>
                <w:sz w:val="20"/>
              </w:rPr>
              <w:t>tr</w:t>
            </w:r>
            <w:r w:rsidRPr="00BB7732">
              <w:rPr>
                <w:rFonts w:eastAsia="Times New Roman" w:cs="Times New Roman"/>
                <w:color w:val="000000"/>
                <w:sz w:val="20"/>
                <w:lang w:val="vi-VN"/>
              </w:rPr>
              <w:t>ên số phòng ngủ tối thiểu 30 m</w:t>
            </w:r>
            <w:r w:rsidRPr="00BB7732">
              <w:rPr>
                <w:rFonts w:eastAsia="Times New Roman" w:cs="Times New Roman"/>
                <w:color w:val="000000"/>
                <w:sz w:val="20"/>
                <w:vertAlign w:val="superscript"/>
                <w:lang w:val="vi-VN"/>
              </w:rPr>
              <w:t>2</w:t>
            </w:r>
            <w:r w:rsidRPr="00BB7732">
              <w:rPr>
                <w:rFonts w:eastAsia="Times New Roman" w:cs="Times New Roman"/>
                <w:color w:val="000000"/>
                <w:sz w:val="20"/>
                <w:lang w:val="vi-VN"/>
              </w:rPr>
              <w:t xml:space="preserve">. Tính theo công thức: </w:t>
            </w:r>
            <w:r w:rsidRPr="00BB7732">
              <w:rPr>
                <w:rFonts w:eastAsia="Times New Roman" w:cs="Times New Roman"/>
                <w:noProof/>
                <w:color w:val="000000"/>
                <w:sz w:val="20"/>
              </w:rPr>
              <w:drawing>
                <wp:inline distT="0" distB="0" distL="0" distR="0">
                  <wp:extent cx="438150" cy="342900"/>
                  <wp:effectExtent l="0" t="0" r="0" b="0"/>
                  <wp:docPr id="4" name="Picture 4" descr="http://192.168.150.44/LawMan/DocLaw/3/3/8/6/00338600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92.168.150.44/LawMan/DocLaw/3/3/8/6/00338600_files/image00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342900"/>
                          </a:xfrm>
                          <a:prstGeom prst="rect">
                            <a:avLst/>
                          </a:prstGeom>
                          <a:noFill/>
                          <a:ln>
                            <a:noFill/>
                          </a:ln>
                        </pic:spPr>
                      </pic:pic>
                    </a:graphicData>
                  </a:graphic>
                </wp:inline>
              </w:drawing>
            </w:r>
            <w:r w:rsidRPr="00BB7732">
              <w:rPr>
                <w:rFonts w:eastAsia="Times New Roman" w:cs="Times New Roman"/>
                <w:color w:val="000000"/>
                <w:sz w:val="20"/>
                <w:lang w:val="vi-VN"/>
              </w:rPr>
              <w:t> ≥ 30m</w:t>
            </w:r>
            <w:r w:rsidRPr="00BB7732">
              <w:rPr>
                <w:rFonts w:eastAsia="Times New Roman" w:cs="Times New Roman"/>
                <w:color w:val="000000"/>
                <w:sz w:val="20"/>
                <w:vertAlign w:val="superscript"/>
                <w:lang w:val="vi-VN"/>
              </w:rPr>
              <w:t>2</w:t>
            </w:r>
            <w:r w:rsidRPr="00BB7732">
              <w:rPr>
                <w:rFonts w:eastAsia="Times New Roman" w:cs="Times New Roman"/>
                <w:color w:val="000000"/>
                <w:sz w:val="20"/>
                <w:lang w:val="vi-VN"/>
              </w:rPr>
              <w:t xml:space="preserve"> (Trong đó TDtCh là tổng diện tích sử dụng các căn hộ, TsPn là tổng số phòng ngủ các căn hộ).</w:t>
            </w:r>
          </w:p>
        </w:tc>
      </w:tr>
      <w:tr w:rsidR="00BB7732" w:rsidRPr="00BB7732" w:rsidTr="00BB7732">
        <w:tc>
          <w:tcPr>
            <w:tcW w:w="2628" w:type="dxa"/>
            <w:tcMar>
              <w:top w:w="0" w:type="dxa"/>
              <w:left w:w="108" w:type="dxa"/>
              <w:bottom w:w="0" w:type="dxa"/>
              <w:right w:w="108" w:type="dxa"/>
            </w:tcMar>
            <w:hideMark/>
          </w:tcPr>
          <w:p w:rsidR="00BB7732" w:rsidRPr="00BB7732" w:rsidRDefault="00BB7732" w:rsidP="00BB7732">
            <w:pPr>
              <w:spacing w:before="120" w:after="0" w:line="240" w:lineRule="auto"/>
              <w:rPr>
                <w:rFonts w:eastAsia="Times New Roman" w:cs="Times New Roman"/>
                <w:color w:val="000000"/>
                <w:sz w:val="20"/>
              </w:rPr>
            </w:pPr>
            <w:r w:rsidRPr="00BB7732">
              <w:rPr>
                <w:rFonts w:eastAsia="Times New Roman" w:cs="Times New Roman"/>
                <w:color w:val="000000"/>
                <w:sz w:val="20"/>
                <w:lang w:val="vi-VN"/>
              </w:rPr>
              <w:t>6. Phòng vệ sinh</w:t>
            </w:r>
          </w:p>
        </w:tc>
        <w:tc>
          <w:tcPr>
            <w:tcW w:w="6228" w:type="dxa"/>
            <w:tcMar>
              <w:top w:w="0" w:type="dxa"/>
              <w:left w:w="108" w:type="dxa"/>
              <w:bottom w:w="0" w:type="dxa"/>
              <w:right w:w="108" w:type="dxa"/>
            </w:tcMar>
            <w:hideMark/>
          </w:tcPr>
          <w:p w:rsidR="00BB7732" w:rsidRPr="00BB7732" w:rsidRDefault="00BB7732" w:rsidP="00BB7732">
            <w:pPr>
              <w:spacing w:before="120" w:after="0" w:line="240" w:lineRule="auto"/>
              <w:rPr>
                <w:rFonts w:eastAsia="Times New Roman" w:cs="Times New Roman"/>
                <w:color w:val="000000"/>
                <w:sz w:val="20"/>
              </w:rPr>
            </w:pPr>
            <w:r w:rsidRPr="00BB7732">
              <w:rPr>
                <w:rFonts w:eastAsia="Times New Roman" w:cs="Times New Roman"/>
                <w:color w:val="000000"/>
                <w:sz w:val="20"/>
                <w:lang w:val="vi-VN"/>
              </w:rPr>
              <w:t xml:space="preserve">Bình quân tổng số phòng vệ sinh trên tổng số phòng ngủ của các căn hộ ≥0,5. Tính theo công thức: </w:t>
            </w:r>
            <w:r w:rsidRPr="00BB7732">
              <w:rPr>
                <w:rFonts w:eastAsia="Times New Roman" w:cs="Times New Roman"/>
                <w:noProof/>
                <w:color w:val="000000"/>
                <w:sz w:val="20"/>
              </w:rPr>
              <w:drawing>
                <wp:inline distT="0" distB="0" distL="0" distR="0">
                  <wp:extent cx="438150" cy="342900"/>
                  <wp:effectExtent l="0" t="0" r="0" b="0"/>
                  <wp:docPr id="3" name="Picture 3" descr="http://192.168.150.44/LawMan/DocLaw/3/3/8/6/00338600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92.168.150.44/LawMan/DocLaw/3/3/8/6/00338600_files/image00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342900"/>
                          </a:xfrm>
                          <a:prstGeom prst="rect">
                            <a:avLst/>
                          </a:prstGeom>
                          <a:noFill/>
                          <a:ln>
                            <a:noFill/>
                          </a:ln>
                        </pic:spPr>
                      </pic:pic>
                    </a:graphicData>
                  </a:graphic>
                </wp:inline>
              </w:drawing>
            </w:r>
            <w:r w:rsidRPr="00BB7732">
              <w:rPr>
                <w:rFonts w:eastAsia="Times New Roman" w:cs="Times New Roman"/>
                <w:color w:val="000000"/>
                <w:sz w:val="20"/>
                <w:lang w:val="vi-VN"/>
              </w:rPr>
              <w:t> ≥ 0,5 (Trong đó TsPwc là tổng số phòng vệ sinh các căn hộ, TsPn là tổng số phòng ngủ các căn hộ).</w:t>
            </w:r>
          </w:p>
        </w:tc>
      </w:tr>
      <w:tr w:rsidR="00BB7732" w:rsidRPr="00BB7732" w:rsidTr="00BB7732">
        <w:tc>
          <w:tcPr>
            <w:tcW w:w="2628" w:type="dxa"/>
            <w:tcMar>
              <w:top w:w="0" w:type="dxa"/>
              <w:left w:w="108" w:type="dxa"/>
              <w:bottom w:w="0" w:type="dxa"/>
              <w:right w:w="108" w:type="dxa"/>
            </w:tcMar>
            <w:hideMark/>
          </w:tcPr>
          <w:p w:rsidR="00BB7732" w:rsidRPr="00BB7732" w:rsidRDefault="00BB7732" w:rsidP="00BB7732">
            <w:pPr>
              <w:spacing w:before="120" w:after="0" w:line="240" w:lineRule="auto"/>
              <w:rPr>
                <w:rFonts w:eastAsia="Times New Roman" w:cs="Times New Roman"/>
                <w:color w:val="000000"/>
                <w:sz w:val="20"/>
              </w:rPr>
            </w:pPr>
            <w:r w:rsidRPr="00BB7732">
              <w:rPr>
                <w:rFonts w:eastAsia="Times New Roman" w:cs="Times New Roman"/>
                <w:color w:val="000000"/>
                <w:sz w:val="20"/>
                <w:lang w:val="vi-VN"/>
              </w:rPr>
              <w:t>7. Thang máy</w:t>
            </w:r>
          </w:p>
        </w:tc>
        <w:tc>
          <w:tcPr>
            <w:tcW w:w="6228" w:type="dxa"/>
            <w:tcMar>
              <w:top w:w="0" w:type="dxa"/>
              <w:left w:w="108" w:type="dxa"/>
              <w:bottom w:w="0" w:type="dxa"/>
              <w:right w:w="108" w:type="dxa"/>
            </w:tcMar>
            <w:hideMark/>
          </w:tcPr>
          <w:p w:rsidR="00BB7732" w:rsidRPr="00BB7732" w:rsidRDefault="00BB7732" w:rsidP="00BB7732">
            <w:pPr>
              <w:spacing w:before="120" w:after="0" w:line="240" w:lineRule="auto"/>
              <w:rPr>
                <w:rFonts w:eastAsia="Times New Roman" w:cs="Times New Roman"/>
                <w:color w:val="000000"/>
                <w:sz w:val="20"/>
              </w:rPr>
            </w:pPr>
            <w:r w:rsidRPr="00BB7732">
              <w:rPr>
                <w:rFonts w:eastAsia="Times New Roman" w:cs="Times New Roman"/>
                <w:color w:val="000000"/>
                <w:sz w:val="20"/>
                <w:lang w:val="vi-VN"/>
              </w:rPr>
              <w:t>Mỗi thang máy phục vụ tối đa không quá 50 căn hộ (tổng số căn hộ chia cho tổng số thang máy phục vụ căn hộ ≤ 50).</w:t>
            </w:r>
          </w:p>
        </w:tc>
      </w:tr>
      <w:tr w:rsidR="00BB7732" w:rsidRPr="00BB7732" w:rsidTr="00BB7732">
        <w:tc>
          <w:tcPr>
            <w:tcW w:w="2628" w:type="dxa"/>
            <w:tcMar>
              <w:top w:w="0" w:type="dxa"/>
              <w:left w:w="108" w:type="dxa"/>
              <w:bottom w:w="0" w:type="dxa"/>
              <w:right w:w="108" w:type="dxa"/>
            </w:tcMar>
            <w:hideMark/>
          </w:tcPr>
          <w:p w:rsidR="00BB7732" w:rsidRPr="00BB7732" w:rsidRDefault="00BB7732" w:rsidP="00BB7732">
            <w:pPr>
              <w:spacing w:before="120" w:after="0" w:line="240" w:lineRule="auto"/>
              <w:rPr>
                <w:rFonts w:eastAsia="Times New Roman" w:cs="Times New Roman"/>
                <w:color w:val="000000"/>
                <w:sz w:val="20"/>
              </w:rPr>
            </w:pPr>
            <w:r w:rsidRPr="00BB7732">
              <w:rPr>
                <w:rFonts w:eastAsia="Times New Roman" w:cs="Times New Roman"/>
                <w:color w:val="000000"/>
                <w:sz w:val="20"/>
                <w:lang w:val="vi-VN"/>
              </w:rPr>
              <w:t>8. Chỗ để xe</w:t>
            </w:r>
          </w:p>
        </w:tc>
        <w:tc>
          <w:tcPr>
            <w:tcW w:w="6228" w:type="dxa"/>
            <w:tcMar>
              <w:top w:w="0" w:type="dxa"/>
              <w:left w:w="108" w:type="dxa"/>
              <w:bottom w:w="0" w:type="dxa"/>
              <w:right w:w="108" w:type="dxa"/>
            </w:tcMar>
            <w:hideMark/>
          </w:tcPr>
          <w:p w:rsidR="00BB7732" w:rsidRPr="00BB7732" w:rsidRDefault="00BB7732" w:rsidP="00BB7732">
            <w:pPr>
              <w:spacing w:before="120" w:after="0" w:line="240" w:lineRule="auto"/>
              <w:rPr>
                <w:rFonts w:eastAsia="Times New Roman" w:cs="Times New Roman"/>
                <w:color w:val="000000"/>
                <w:sz w:val="20"/>
              </w:rPr>
            </w:pPr>
            <w:r w:rsidRPr="00BB7732">
              <w:rPr>
                <w:rFonts w:eastAsia="Times New Roman" w:cs="Times New Roman"/>
                <w:color w:val="000000"/>
                <w:sz w:val="20"/>
                <w:lang w:val="vi-VN"/>
              </w:rPr>
              <w:t>Tối thiểu 02 căn hộ có 01 chỗ để ô tô (có mái che).</w:t>
            </w:r>
          </w:p>
        </w:tc>
      </w:tr>
    </w:tbl>
    <w:p w:rsidR="00BB7732" w:rsidRPr="00BB7732" w:rsidRDefault="00BB7732" w:rsidP="00BB7732">
      <w:pPr>
        <w:spacing w:before="120" w:after="0" w:line="240" w:lineRule="auto"/>
        <w:rPr>
          <w:rFonts w:eastAsia="Times New Roman" w:cs="Times New Roman"/>
          <w:color w:val="000000"/>
          <w:sz w:val="20"/>
        </w:rPr>
      </w:pPr>
      <w:r w:rsidRPr="00BB7732">
        <w:rPr>
          <w:rFonts w:eastAsia="Times New Roman" w:cs="Times New Roman"/>
          <w:b/>
          <w:bCs/>
          <w:color w:val="000000"/>
          <w:sz w:val="20"/>
          <w:lang w:val="vi-VN"/>
        </w:rPr>
        <w:t>II. Hệ thống, thiết bị kỹ thuật</w:t>
      </w:r>
    </w:p>
    <w:tbl>
      <w:tblPr>
        <w:tblW w:w="0" w:type="auto"/>
        <w:tblCellMar>
          <w:left w:w="0" w:type="dxa"/>
          <w:right w:w="0" w:type="dxa"/>
        </w:tblCellMar>
        <w:tblLook w:val="04A0" w:firstRow="1" w:lastRow="0" w:firstColumn="1" w:lastColumn="0" w:noHBand="0" w:noVBand="1"/>
      </w:tblPr>
      <w:tblGrid>
        <w:gridCol w:w="2628"/>
        <w:gridCol w:w="6228"/>
      </w:tblGrid>
      <w:tr w:rsidR="00BB7732" w:rsidRPr="00BB7732" w:rsidTr="00BB7732">
        <w:tc>
          <w:tcPr>
            <w:tcW w:w="2628" w:type="dxa"/>
            <w:tcMar>
              <w:top w:w="0" w:type="dxa"/>
              <w:left w:w="108" w:type="dxa"/>
              <w:bottom w:w="0" w:type="dxa"/>
              <w:right w:w="108" w:type="dxa"/>
            </w:tcMar>
            <w:hideMark/>
          </w:tcPr>
          <w:p w:rsidR="00BB7732" w:rsidRPr="00BB7732" w:rsidRDefault="00BB7732" w:rsidP="00BB7732">
            <w:pPr>
              <w:spacing w:before="120" w:after="0" w:line="240" w:lineRule="auto"/>
              <w:rPr>
                <w:rFonts w:eastAsia="Times New Roman" w:cs="Times New Roman"/>
                <w:color w:val="000000"/>
                <w:sz w:val="20"/>
              </w:rPr>
            </w:pPr>
            <w:r w:rsidRPr="00BB7732">
              <w:rPr>
                <w:rFonts w:eastAsia="Times New Roman" w:cs="Times New Roman"/>
                <w:color w:val="000000"/>
                <w:sz w:val="20"/>
                <w:lang w:val="vi-VN"/>
              </w:rPr>
              <w:t>9. Cấp điện</w:t>
            </w:r>
          </w:p>
        </w:tc>
        <w:tc>
          <w:tcPr>
            <w:tcW w:w="6228" w:type="dxa"/>
            <w:tcMar>
              <w:top w:w="0" w:type="dxa"/>
              <w:left w:w="108" w:type="dxa"/>
              <w:bottom w:w="0" w:type="dxa"/>
              <w:right w:w="108" w:type="dxa"/>
            </w:tcMar>
            <w:hideMark/>
          </w:tcPr>
          <w:p w:rsidR="00BB7732" w:rsidRPr="00BB7732" w:rsidRDefault="00BB7732" w:rsidP="00BB7732">
            <w:pPr>
              <w:spacing w:before="120" w:after="0" w:line="240" w:lineRule="auto"/>
              <w:rPr>
                <w:rFonts w:eastAsia="Times New Roman" w:cs="Times New Roman"/>
                <w:color w:val="000000"/>
                <w:sz w:val="20"/>
              </w:rPr>
            </w:pPr>
            <w:r w:rsidRPr="00BB7732">
              <w:rPr>
                <w:rFonts w:eastAsia="Times New Roman" w:cs="Times New Roman"/>
                <w:color w:val="000000"/>
                <w:sz w:val="20"/>
                <w:lang w:val="vi-VN"/>
              </w:rPr>
              <w:t>Có máy phát đ</w:t>
            </w:r>
            <w:r w:rsidRPr="00BB7732">
              <w:rPr>
                <w:rFonts w:eastAsia="Times New Roman" w:cs="Times New Roman"/>
                <w:color w:val="000000"/>
                <w:sz w:val="20"/>
              </w:rPr>
              <w:t>i</w:t>
            </w:r>
            <w:r w:rsidRPr="00BB7732">
              <w:rPr>
                <w:rFonts w:eastAsia="Times New Roman" w:cs="Times New Roman"/>
                <w:color w:val="000000"/>
                <w:sz w:val="20"/>
                <w:lang w:val="vi-VN"/>
              </w:rPr>
              <w:t>ện dự phòng đủ công suất và hệ thống cấp điện đảm bảo cho hoạt động của các thiết bị, chiếu sáng chung của tòa nhà khi mất điện lưới hoặc nguồn cấp điện bình thường khác của tòa nhà.</w:t>
            </w:r>
          </w:p>
        </w:tc>
      </w:tr>
      <w:tr w:rsidR="00BB7732" w:rsidRPr="00BB7732" w:rsidTr="00BB7732">
        <w:tc>
          <w:tcPr>
            <w:tcW w:w="2628" w:type="dxa"/>
            <w:tcMar>
              <w:top w:w="0" w:type="dxa"/>
              <w:left w:w="108" w:type="dxa"/>
              <w:bottom w:w="0" w:type="dxa"/>
              <w:right w:w="108" w:type="dxa"/>
            </w:tcMar>
            <w:hideMark/>
          </w:tcPr>
          <w:p w:rsidR="00BB7732" w:rsidRPr="00BB7732" w:rsidRDefault="00BB7732" w:rsidP="00BB7732">
            <w:pPr>
              <w:spacing w:before="120" w:after="0" w:line="240" w:lineRule="auto"/>
              <w:rPr>
                <w:rFonts w:eastAsia="Times New Roman" w:cs="Times New Roman"/>
                <w:color w:val="000000"/>
                <w:sz w:val="20"/>
              </w:rPr>
            </w:pPr>
            <w:r w:rsidRPr="00BB7732">
              <w:rPr>
                <w:rFonts w:eastAsia="Times New Roman" w:cs="Times New Roman"/>
                <w:color w:val="000000"/>
                <w:sz w:val="20"/>
                <w:lang w:val="vi-VN"/>
              </w:rPr>
              <w:t xml:space="preserve">10. </w:t>
            </w:r>
            <w:r w:rsidRPr="00BB7732">
              <w:rPr>
                <w:rFonts w:eastAsia="Times New Roman" w:cs="Times New Roman"/>
                <w:color w:val="000000"/>
                <w:sz w:val="20"/>
              </w:rPr>
              <w:t>C</w:t>
            </w:r>
            <w:r w:rsidRPr="00BB7732">
              <w:rPr>
                <w:rFonts w:eastAsia="Times New Roman" w:cs="Times New Roman"/>
                <w:color w:val="000000"/>
                <w:sz w:val="20"/>
                <w:lang w:val="vi-VN"/>
              </w:rPr>
              <w:t>ấp nước</w:t>
            </w:r>
          </w:p>
        </w:tc>
        <w:tc>
          <w:tcPr>
            <w:tcW w:w="6228" w:type="dxa"/>
            <w:tcMar>
              <w:top w:w="0" w:type="dxa"/>
              <w:left w:w="108" w:type="dxa"/>
              <w:bottom w:w="0" w:type="dxa"/>
              <w:right w:w="108" w:type="dxa"/>
            </w:tcMar>
            <w:hideMark/>
          </w:tcPr>
          <w:p w:rsidR="00BB7732" w:rsidRPr="00BB7732" w:rsidRDefault="00BB7732" w:rsidP="00BB7732">
            <w:pPr>
              <w:spacing w:before="120" w:after="0" w:line="240" w:lineRule="auto"/>
              <w:rPr>
                <w:rFonts w:eastAsia="Times New Roman" w:cs="Times New Roman"/>
                <w:color w:val="000000"/>
                <w:sz w:val="20"/>
              </w:rPr>
            </w:pPr>
            <w:r w:rsidRPr="00BB7732">
              <w:rPr>
                <w:rFonts w:eastAsia="Times New Roman" w:cs="Times New Roman"/>
                <w:color w:val="000000"/>
                <w:sz w:val="20"/>
                <w:lang w:val="vi-VN"/>
              </w:rPr>
              <w:t>Dung tích bể chứa nước sinh hoạt cho căn hộ trên tổng số căn hộ tối thiểu đạt 1.200 lít (đảm bảo cấp 150 lí</w:t>
            </w:r>
            <w:r w:rsidRPr="00BB7732">
              <w:rPr>
                <w:rFonts w:eastAsia="Times New Roman" w:cs="Times New Roman"/>
                <w:color w:val="000000"/>
                <w:sz w:val="20"/>
              </w:rPr>
              <w:t>t/</w:t>
            </w:r>
            <w:r w:rsidRPr="00BB7732">
              <w:rPr>
                <w:rFonts w:eastAsia="Times New Roman" w:cs="Times New Roman"/>
                <w:color w:val="000000"/>
                <w:sz w:val="20"/>
                <w:lang w:val="vi-VN"/>
              </w:rPr>
              <w:t>người/ngày-đêm trong 2 ngày).</w:t>
            </w:r>
          </w:p>
        </w:tc>
      </w:tr>
      <w:tr w:rsidR="00BB7732" w:rsidRPr="00BB7732" w:rsidTr="00BB7732">
        <w:tc>
          <w:tcPr>
            <w:tcW w:w="2628" w:type="dxa"/>
            <w:tcMar>
              <w:top w:w="0" w:type="dxa"/>
              <w:left w:w="108" w:type="dxa"/>
              <w:bottom w:w="0" w:type="dxa"/>
              <w:right w:w="108" w:type="dxa"/>
            </w:tcMar>
            <w:hideMark/>
          </w:tcPr>
          <w:p w:rsidR="00BB7732" w:rsidRPr="00BB7732" w:rsidRDefault="00BB7732" w:rsidP="00BB7732">
            <w:pPr>
              <w:spacing w:before="120" w:after="0" w:line="240" w:lineRule="auto"/>
              <w:rPr>
                <w:rFonts w:eastAsia="Times New Roman" w:cs="Times New Roman"/>
                <w:color w:val="000000"/>
                <w:sz w:val="20"/>
              </w:rPr>
            </w:pPr>
            <w:r w:rsidRPr="00BB7732">
              <w:rPr>
                <w:rFonts w:eastAsia="Times New Roman" w:cs="Times New Roman"/>
                <w:color w:val="000000"/>
                <w:sz w:val="20"/>
                <w:lang w:val="vi-VN"/>
              </w:rPr>
              <w:t>11. Thông tin, liên lạc</w:t>
            </w:r>
          </w:p>
        </w:tc>
        <w:tc>
          <w:tcPr>
            <w:tcW w:w="6228" w:type="dxa"/>
            <w:tcMar>
              <w:top w:w="0" w:type="dxa"/>
              <w:left w:w="108" w:type="dxa"/>
              <w:bottom w:w="0" w:type="dxa"/>
              <w:right w:w="108" w:type="dxa"/>
            </w:tcMar>
            <w:hideMark/>
          </w:tcPr>
          <w:p w:rsidR="00BB7732" w:rsidRPr="00BB7732" w:rsidRDefault="00BB7732" w:rsidP="00BB7732">
            <w:pPr>
              <w:spacing w:before="120" w:after="0" w:line="240" w:lineRule="auto"/>
              <w:rPr>
                <w:rFonts w:eastAsia="Times New Roman" w:cs="Times New Roman"/>
                <w:color w:val="000000"/>
                <w:sz w:val="20"/>
              </w:rPr>
            </w:pPr>
            <w:r w:rsidRPr="00BB7732">
              <w:rPr>
                <w:rFonts w:eastAsia="Times New Roman" w:cs="Times New Roman"/>
                <w:color w:val="000000"/>
                <w:sz w:val="20"/>
                <w:lang w:val="vi-VN"/>
              </w:rPr>
              <w:t>Có hệ thống cung cấp dịch vụ truyền hình cáp, điện thoại, internet tốc độ cao đến từng căn hộ.</w:t>
            </w:r>
          </w:p>
        </w:tc>
      </w:tr>
      <w:tr w:rsidR="00BB7732" w:rsidRPr="00BB7732" w:rsidTr="00BB7732">
        <w:tc>
          <w:tcPr>
            <w:tcW w:w="2628" w:type="dxa"/>
            <w:tcMar>
              <w:top w:w="0" w:type="dxa"/>
              <w:left w:w="108" w:type="dxa"/>
              <w:bottom w:w="0" w:type="dxa"/>
              <w:right w:w="108" w:type="dxa"/>
            </w:tcMar>
            <w:hideMark/>
          </w:tcPr>
          <w:p w:rsidR="00BB7732" w:rsidRPr="00BB7732" w:rsidRDefault="00BB7732" w:rsidP="00BB7732">
            <w:pPr>
              <w:spacing w:before="120" w:after="0" w:line="240" w:lineRule="auto"/>
              <w:rPr>
                <w:rFonts w:eastAsia="Times New Roman" w:cs="Times New Roman"/>
                <w:color w:val="000000"/>
                <w:sz w:val="20"/>
              </w:rPr>
            </w:pPr>
            <w:r w:rsidRPr="00BB7732">
              <w:rPr>
                <w:rFonts w:eastAsia="Times New Roman" w:cs="Times New Roman"/>
                <w:color w:val="000000"/>
                <w:sz w:val="20"/>
                <w:lang w:val="vi-VN"/>
              </w:rPr>
              <w:t>12. Phòng cháy chữa cháy</w:t>
            </w:r>
          </w:p>
        </w:tc>
        <w:tc>
          <w:tcPr>
            <w:tcW w:w="6228" w:type="dxa"/>
            <w:tcMar>
              <w:top w:w="0" w:type="dxa"/>
              <w:left w:w="108" w:type="dxa"/>
              <w:bottom w:w="0" w:type="dxa"/>
              <w:right w:w="108" w:type="dxa"/>
            </w:tcMar>
            <w:hideMark/>
          </w:tcPr>
          <w:p w:rsidR="00BB7732" w:rsidRPr="00BB7732" w:rsidRDefault="00BB7732" w:rsidP="00BB7732">
            <w:pPr>
              <w:spacing w:before="120" w:after="0" w:line="240" w:lineRule="auto"/>
              <w:rPr>
                <w:rFonts w:eastAsia="Times New Roman" w:cs="Times New Roman"/>
                <w:color w:val="000000"/>
                <w:sz w:val="20"/>
              </w:rPr>
            </w:pPr>
            <w:r w:rsidRPr="00BB7732">
              <w:rPr>
                <w:rFonts w:eastAsia="Times New Roman" w:cs="Times New Roman"/>
                <w:color w:val="000000"/>
                <w:sz w:val="20"/>
                <w:lang w:val="vi-VN"/>
              </w:rPr>
              <w:t>Có hệ thống, thiết bị chữa cháy tự động khu vực công cộng.</w:t>
            </w:r>
          </w:p>
        </w:tc>
      </w:tr>
    </w:tbl>
    <w:p w:rsidR="00BB7732" w:rsidRPr="00BB7732" w:rsidRDefault="00BB7732" w:rsidP="00BB7732">
      <w:pPr>
        <w:spacing w:before="120" w:after="0" w:line="240" w:lineRule="auto"/>
        <w:rPr>
          <w:rFonts w:eastAsia="Times New Roman" w:cs="Times New Roman"/>
          <w:color w:val="000000"/>
          <w:sz w:val="20"/>
        </w:rPr>
      </w:pPr>
      <w:r w:rsidRPr="00BB7732">
        <w:rPr>
          <w:rFonts w:eastAsia="Times New Roman" w:cs="Times New Roman"/>
          <w:b/>
          <w:bCs/>
          <w:color w:val="000000"/>
          <w:sz w:val="20"/>
          <w:lang w:val="vi-VN"/>
        </w:rPr>
        <w:t>III. Dịch vụ, Hạ tầng xã hội</w:t>
      </w:r>
    </w:p>
    <w:tbl>
      <w:tblPr>
        <w:tblW w:w="0" w:type="auto"/>
        <w:tblCellMar>
          <w:left w:w="0" w:type="dxa"/>
          <w:right w:w="0" w:type="dxa"/>
        </w:tblCellMar>
        <w:tblLook w:val="04A0" w:firstRow="1" w:lastRow="0" w:firstColumn="1" w:lastColumn="0" w:noHBand="0" w:noVBand="1"/>
      </w:tblPr>
      <w:tblGrid>
        <w:gridCol w:w="2628"/>
        <w:gridCol w:w="6228"/>
      </w:tblGrid>
      <w:tr w:rsidR="00BB7732" w:rsidRPr="00BB7732" w:rsidTr="00BB7732">
        <w:tc>
          <w:tcPr>
            <w:tcW w:w="2628" w:type="dxa"/>
            <w:tcMar>
              <w:top w:w="0" w:type="dxa"/>
              <w:left w:w="108" w:type="dxa"/>
              <w:bottom w:w="0" w:type="dxa"/>
              <w:right w:w="108" w:type="dxa"/>
            </w:tcMar>
            <w:hideMark/>
          </w:tcPr>
          <w:p w:rsidR="00BB7732" w:rsidRPr="00BB7732" w:rsidRDefault="00BB7732" w:rsidP="00BB7732">
            <w:pPr>
              <w:spacing w:before="120" w:after="0" w:line="240" w:lineRule="auto"/>
              <w:rPr>
                <w:rFonts w:eastAsia="Times New Roman" w:cs="Times New Roman"/>
                <w:color w:val="000000"/>
                <w:sz w:val="20"/>
              </w:rPr>
            </w:pPr>
            <w:r w:rsidRPr="00BB7732">
              <w:rPr>
                <w:rFonts w:eastAsia="Times New Roman" w:cs="Times New Roman"/>
                <w:color w:val="000000"/>
                <w:sz w:val="20"/>
                <w:lang w:val="vi-VN"/>
              </w:rPr>
              <w:t>13. Thương mại</w:t>
            </w:r>
          </w:p>
        </w:tc>
        <w:tc>
          <w:tcPr>
            <w:tcW w:w="6228" w:type="dxa"/>
            <w:tcMar>
              <w:top w:w="0" w:type="dxa"/>
              <w:left w:w="108" w:type="dxa"/>
              <w:bottom w:w="0" w:type="dxa"/>
              <w:right w:w="108" w:type="dxa"/>
            </w:tcMar>
            <w:hideMark/>
          </w:tcPr>
          <w:p w:rsidR="00BB7732" w:rsidRPr="00BB7732" w:rsidRDefault="00BB7732" w:rsidP="00BB7732">
            <w:pPr>
              <w:spacing w:before="120" w:after="0" w:line="240" w:lineRule="auto"/>
              <w:rPr>
                <w:rFonts w:eastAsia="Times New Roman" w:cs="Times New Roman"/>
                <w:color w:val="000000"/>
                <w:sz w:val="20"/>
              </w:rPr>
            </w:pPr>
            <w:r w:rsidRPr="00BB7732">
              <w:rPr>
                <w:rFonts w:eastAsia="Times New Roman" w:cs="Times New Roman"/>
                <w:color w:val="000000"/>
                <w:sz w:val="20"/>
                <w:lang w:val="vi-VN"/>
              </w:rPr>
              <w:t>Có trung tâm thương mại hoặc siêu thị trong bán kính 1,5 km.</w:t>
            </w:r>
          </w:p>
        </w:tc>
      </w:tr>
      <w:tr w:rsidR="00BB7732" w:rsidRPr="00BB7732" w:rsidTr="00BB7732">
        <w:tc>
          <w:tcPr>
            <w:tcW w:w="2628" w:type="dxa"/>
            <w:tcMar>
              <w:top w:w="0" w:type="dxa"/>
              <w:left w:w="108" w:type="dxa"/>
              <w:bottom w:w="0" w:type="dxa"/>
              <w:right w:w="108" w:type="dxa"/>
            </w:tcMar>
            <w:hideMark/>
          </w:tcPr>
          <w:p w:rsidR="00BB7732" w:rsidRPr="00BB7732" w:rsidRDefault="00BB7732" w:rsidP="00BB7732">
            <w:pPr>
              <w:spacing w:before="120" w:after="0" w:line="240" w:lineRule="auto"/>
              <w:rPr>
                <w:rFonts w:eastAsia="Times New Roman" w:cs="Times New Roman"/>
                <w:color w:val="000000"/>
                <w:sz w:val="20"/>
              </w:rPr>
            </w:pPr>
            <w:r w:rsidRPr="00BB7732">
              <w:rPr>
                <w:rFonts w:eastAsia="Times New Roman" w:cs="Times New Roman"/>
                <w:color w:val="000000"/>
                <w:sz w:val="20"/>
                <w:lang w:val="vi-VN"/>
              </w:rPr>
              <w:t>14. Thể thao</w:t>
            </w:r>
          </w:p>
        </w:tc>
        <w:tc>
          <w:tcPr>
            <w:tcW w:w="6228" w:type="dxa"/>
            <w:tcMar>
              <w:top w:w="0" w:type="dxa"/>
              <w:left w:w="108" w:type="dxa"/>
              <w:bottom w:w="0" w:type="dxa"/>
              <w:right w:w="108" w:type="dxa"/>
            </w:tcMar>
            <w:hideMark/>
          </w:tcPr>
          <w:p w:rsidR="00BB7732" w:rsidRPr="00BB7732" w:rsidRDefault="00BB7732" w:rsidP="00BB7732">
            <w:pPr>
              <w:spacing w:before="120" w:after="0" w:line="240" w:lineRule="auto"/>
              <w:rPr>
                <w:rFonts w:eastAsia="Times New Roman" w:cs="Times New Roman"/>
                <w:color w:val="000000"/>
                <w:sz w:val="20"/>
              </w:rPr>
            </w:pPr>
            <w:r w:rsidRPr="00BB7732">
              <w:rPr>
                <w:rFonts w:eastAsia="Times New Roman" w:cs="Times New Roman"/>
                <w:color w:val="000000"/>
                <w:sz w:val="20"/>
                <w:lang w:val="vi-VN"/>
              </w:rPr>
              <w:t>Có 01 trong các tiện ích phục vụ thể thao sau: phòng tập gym, bể bơi, sân tennis, sân thể thao khác... dành riêng, nằm trong công trình hoặc trong tổng thể quy hoạch hoặc trong bán kính 500 m.</w:t>
            </w:r>
          </w:p>
        </w:tc>
      </w:tr>
      <w:tr w:rsidR="00BB7732" w:rsidRPr="00BB7732" w:rsidTr="00BB7732">
        <w:tc>
          <w:tcPr>
            <w:tcW w:w="2628" w:type="dxa"/>
            <w:tcMar>
              <w:top w:w="0" w:type="dxa"/>
              <w:left w:w="108" w:type="dxa"/>
              <w:bottom w:w="0" w:type="dxa"/>
              <w:right w:w="108" w:type="dxa"/>
            </w:tcMar>
            <w:hideMark/>
          </w:tcPr>
          <w:p w:rsidR="00BB7732" w:rsidRPr="00BB7732" w:rsidRDefault="00BB7732" w:rsidP="00BB7732">
            <w:pPr>
              <w:spacing w:before="120" w:after="0" w:line="240" w:lineRule="auto"/>
              <w:rPr>
                <w:rFonts w:eastAsia="Times New Roman" w:cs="Times New Roman"/>
                <w:color w:val="000000"/>
                <w:sz w:val="20"/>
              </w:rPr>
            </w:pPr>
            <w:r w:rsidRPr="00BB7732">
              <w:rPr>
                <w:rFonts w:eastAsia="Times New Roman" w:cs="Times New Roman"/>
                <w:color w:val="000000"/>
                <w:sz w:val="20"/>
                <w:lang w:val="vi-VN"/>
              </w:rPr>
              <w:t>15. Sân chơi</w:t>
            </w:r>
          </w:p>
        </w:tc>
        <w:tc>
          <w:tcPr>
            <w:tcW w:w="6228" w:type="dxa"/>
            <w:tcMar>
              <w:top w:w="0" w:type="dxa"/>
              <w:left w:w="108" w:type="dxa"/>
              <w:bottom w:w="0" w:type="dxa"/>
              <w:right w:w="108" w:type="dxa"/>
            </w:tcMar>
            <w:hideMark/>
          </w:tcPr>
          <w:p w:rsidR="00BB7732" w:rsidRPr="00BB7732" w:rsidRDefault="00BB7732" w:rsidP="00BB7732">
            <w:pPr>
              <w:spacing w:before="120" w:after="0" w:line="240" w:lineRule="auto"/>
              <w:rPr>
                <w:rFonts w:eastAsia="Times New Roman" w:cs="Times New Roman"/>
                <w:color w:val="000000"/>
                <w:sz w:val="20"/>
              </w:rPr>
            </w:pPr>
            <w:r w:rsidRPr="00BB7732">
              <w:rPr>
                <w:rFonts w:eastAsia="Times New Roman" w:cs="Times New Roman"/>
                <w:color w:val="000000"/>
                <w:sz w:val="20"/>
                <w:lang w:val="vi-VN"/>
              </w:rPr>
              <w:t>Có sân chơi trẻ em và cư dân dành riêng hoặc trong tổng thể quy hoạch hoặc trong bán kính 500 m.</w:t>
            </w:r>
          </w:p>
        </w:tc>
      </w:tr>
      <w:tr w:rsidR="00BB7732" w:rsidRPr="00BB7732" w:rsidTr="00BB7732">
        <w:tc>
          <w:tcPr>
            <w:tcW w:w="2628" w:type="dxa"/>
            <w:tcMar>
              <w:top w:w="0" w:type="dxa"/>
              <w:left w:w="108" w:type="dxa"/>
              <w:bottom w:w="0" w:type="dxa"/>
              <w:right w:w="108" w:type="dxa"/>
            </w:tcMar>
            <w:hideMark/>
          </w:tcPr>
          <w:p w:rsidR="00BB7732" w:rsidRPr="00BB7732" w:rsidRDefault="00BB7732" w:rsidP="00BB7732">
            <w:pPr>
              <w:spacing w:before="120" w:after="0" w:line="240" w:lineRule="auto"/>
              <w:rPr>
                <w:rFonts w:eastAsia="Times New Roman" w:cs="Times New Roman"/>
                <w:color w:val="000000"/>
                <w:sz w:val="20"/>
              </w:rPr>
            </w:pPr>
            <w:r w:rsidRPr="00BB7732">
              <w:rPr>
                <w:rFonts w:eastAsia="Times New Roman" w:cs="Times New Roman"/>
                <w:color w:val="000000"/>
                <w:sz w:val="20"/>
                <w:lang w:val="vi-VN"/>
              </w:rPr>
              <w:t>16. Y tế</w:t>
            </w:r>
          </w:p>
        </w:tc>
        <w:tc>
          <w:tcPr>
            <w:tcW w:w="6228" w:type="dxa"/>
            <w:tcMar>
              <w:top w:w="0" w:type="dxa"/>
              <w:left w:w="108" w:type="dxa"/>
              <w:bottom w:w="0" w:type="dxa"/>
              <w:right w:w="108" w:type="dxa"/>
            </w:tcMar>
            <w:hideMark/>
          </w:tcPr>
          <w:p w:rsidR="00BB7732" w:rsidRPr="00BB7732" w:rsidRDefault="00BB7732" w:rsidP="00BB7732">
            <w:pPr>
              <w:spacing w:before="120" w:after="0" w:line="240" w:lineRule="auto"/>
              <w:rPr>
                <w:rFonts w:eastAsia="Times New Roman" w:cs="Times New Roman"/>
                <w:color w:val="000000"/>
                <w:sz w:val="20"/>
              </w:rPr>
            </w:pPr>
            <w:r w:rsidRPr="00BB7732">
              <w:rPr>
                <w:rFonts w:eastAsia="Times New Roman" w:cs="Times New Roman"/>
                <w:color w:val="000000"/>
                <w:sz w:val="20"/>
                <w:lang w:val="vi-VN"/>
              </w:rPr>
              <w:t>Có bệnh viện, phòng khám trong bán kính 1 km.</w:t>
            </w:r>
          </w:p>
        </w:tc>
      </w:tr>
      <w:tr w:rsidR="00BB7732" w:rsidRPr="00BB7732" w:rsidTr="00BB7732">
        <w:tc>
          <w:tcPr>
            <w:tcW w:w="2628" w:type="dxa"/>
            <w:tcMar>
              <w:top w:w="0" w:type="dxa"/>
              <w:left w:w="108" w:type="dxa"/>
              <w:bottom w:w="0" w:type="dxa"/>
              <w:right w:w="108" w:type="dxa"/>
            </w:tcMar>
            <w:hideMark/>
          </w:tcPr>
          <w:p w:rsidR="00BB7732" w:rsidRPr="00BB7732" w:rsidRDefault="00BB7732" w:rsidP="00BB7732">
            <w:pPr>
              <w:spacing w:before="120" w:after="0" w:line="240" w:lineRule="auto"/>
              <w:rPr>
                <w:rFonts w:eastAsia="Times New Roman" w:cs="Times New Roman"/>
                <w:color w:val="000000"/>
                <w:sz w:val="20"/>
              </w:rPr>
            </w:pPr>
            <w:r w:rsidRPr="00BB7732">
              <w:rPr>
                <w:rFonts w:eastAsia="Times New Roman" w:cs="Times New Roman"/>
                <w:color w:val="000000"/>
                <w:sz w:val="20"/>
                <w:lang w:val="vi-VN"/>
              </w:rPr>
              <w:t>17. Giáo dục</w:t>
            </w:r>
          </w:p>
        </w:tc>
        <w:tc>
          <w:tcPr>
            <w:tcW w:w="6228" w:type="dxa"/>
            <w:tcMar>
              <w:top w:w="0" w:type="dxa"/>
              <w:left w:w="108" w:type="dxa"/>
              <w:bottom w:w="0" w:type="dxa"/>
              <w:right w:w="108" w:type="dxa"/>
            </w:tcMar>
            <w:hideMark/>
          </w:tcPr>
          <w:p w:rsidR="00BB7732" w:rsidRPr="00BB7732" w:rsidRDefault="00BB7732" w:rsidP="00BB7732">
            <w:pPr>
              <w:spacing w:before="120" w:after="0" w:line="240" w:lineRule="auto"/>
              <w:rPr>
                <w:rFonts w:eastAsia="Times New Roman" w:cs="Times New Roman"/>
                <w:color w:val="000000"/>
                <w:sz w:val="20"/>
              </w:rPr>
            </w:pPr>
            <w:r w:rsidRPr="00BB7732">
              <w:rPr>
                <w:rFonts w:eastAsia="Times New Roman" w:cs="Times New Roman"/>
                <w:color w:val="000000"/>
                <w:sz w:val="20"/>
                <w:lang w:val="vi-VN"/>
              </w:rPr>
              <w:t>Có trường mầm non, tiểu học trong bán kính 1 km.</w:t>
            </w:r>
          </w:p>
        </w:tc>
      </w:tr>
    </w:tbl>
    <w:p w:rsidR="00BB7732" w:rsidRPr="00BB7732" w:rsidRDefault="00BB7732" w:rsidP="00BB7732">
      <w:pPr>
        <w:spacing w:before="120" w:after="0" w:line="240" w:lineRule="auto"/>
        <w:rPr>
          <w:rFonts w:eastAsia="Times New Roman" w:cs="Times New Roman"/>
          <w:color w:val="000000"/>
          <w:sz w:val="20"/>
        </w:rPr>
      </w:pPr>
      <w:r w:rsidRPr="00BB7732">
        <w:rPr>
          <w:rFonts w:eastAsia="Times New Roman" w:cs="Times New Roman"/>
          <w:b/>
          <w:bCs/>
          <w:color w:val="000000"/>
          <w:sz w:val="20"/>
          <w:lang w:val="vi-VN"/>
        </w:rPr>
        <w:t>IV. Chất lượng, quản lý, vận hành</w:t>
      </w:r>
    </w:p>
    <w:tbl>
      <w:tblPr>
        <w:tblW w:w="0" w:type="auto"/>
        <w:tblCellMar>
          <w:left w:w="0" w:type="dxa"/>
          <w:right w:w="0" w:type="dxa"/>
        </w:tblCellMar>
        <w:tblLook w:val="04A0" w:firstRow="1" w:lastRow="0" w:firstColumn="1" w:lastColumn="0" w:noHBand="0" w:noVBand="1"/>
      </w:tblPr>
      <w:tblGrid>
        <w:gridCol w:w="2628"/>
        <w:gridCol w:w="6228"/>
      </w:tblGrid>
      <w:tr w:rsidR="00BB7732" w:rsidRPr="00BB7732" w:rsidTr="00BB7732">
        <w:tc>
          <w:tcPr>
            <w:tcW w:w="2628" w:type="dxa"/>
            <w:tcMar>
              <w:top w:w="0" w:type="dxa"/>
              <w:left w:w="108" w:type="dxa"/>
              <w:bottom w:w="0" w:type="dxa"/>
              <w:right w:w="108" w:type="dxa"/>
            </w:tcMar>
            <w:hideMark/>
          </w:tcPr>
          <w:p w:rsidR="00BB7732" w:rsidRPr="00BB7732" w:rsidRDefault="00BB7732" w:rsidP="00BB7732">
            <w:pPr>
              <w:spacing w:before="120" w:after="0" w:line="240" w:lineRule="auto"/>
              <w:rPr>
                <w:rFonts w:eastAsia="Times New Roman" w:cs="Times New Roman"/>
                <w:color w:val="000000"/>
                <w:sz w:val="20"/>
              </w:rPr>
            </w:pPr>
            <w:r w:rsidRPr="00BB7732">
              <w:rPr>
                <w:rFonts w:eastAsia="Times New Roman" w:cs="Times New Roman"/>
                <w:color w:val="000000"/>
                <w:sz w:val="20"/>
                <w:lang w:val="vi-VN"/>
              </w:rPr>
              <w:t>18. Chất lượng</w:t>
            </w:r>
          </w:p>
        </w:tc>
        <w:tc>
          <w:tcPr>
            <w:tcW w:w="6228" w:type="dxa"/>
            <w:tcMar>
              <w:top w:w="0" w:type="dxa"/>
              <w:left w:w="108" w:type="dxa"/>
              <w:bottom w:w="0" w:type="dxa"/>
              <w:right w:w="108" w:type="dxa"/>
            </w:tcMar>
            <w:hideMark/>
          </w:tcPr>
          <w:p w:rsidR="00BB7732" w:rsidRPr="00BB7732" w:rsidRDefault="00BB7732" w:rsidP="00BB7732">
            <w:pPr>
              <w:spacing w:before="120" w:after="0" w:line="240" w:lineRule="auto"/>
              <w:rPr>
                <w:rFonts w:eastAsia="Times New Roman" w:cs="Times New Roman"/>
                <w:color w:val="000000"/>
                <w:sz w:val="20"/>
              </w:rPr>
            </w:pPr>
            <w:r w:rsidRPr="00BB7732">
              <w:rPr>
                <w:rFonts w:eastAsia="Times New Roman" w:cs="Times New Roman"/>
                <w:color w:val="000000"/>
                <w:sz w:val="20"/>
                <w:lang w:val="vi-VN"/>
              </w:rPr>
              <w:t xml:space="preserve">Thang máy, đèn chiếu sáng công cộng, máy bơm, máy phát điện, thiết bị báo cháy, chữa cháy và các thiết bị khác (nếu có) như điều hòa, cấp gas, cấp nước nóng còn trong thời hạn bảo hành của nhà sản xuất hoặc đơn vị </w:t>
            </w:r>
            <w:r w:rsidRPr="00BB7732">
              <w:rPr>
                <w:rFonts w:eastAsia="Times New Roman" w:cs="Times New Roman"/>
                <w:color w:val="000000"/>
                <w:sz w:val="20"/>
                <w:lang w:val="vi-VN"/>
              </w:rPr>
              <w:lastRenderedPageBreak/>
              <w:t>cung cấp thiết bị; trường hợp hết thời hạn bảo hành thì không quá 10 năm kể từ thời điểm hết thời hạn bảo hành và phải được kiểm định đảm bảo chất lượng, vận hành tốt.</w:t>
            </w:r>
          </w:p>
        </w:tc>
      </w:tr>
      <w:tr w:rsidR="00BB7732" w:rsidRPr="00BB7732" w:rsidTr="00BB7732">
        <w:tc>
          <w:tcPr>
            <w:tcW w:w="2628" w:type="dxa"/>
            <w:tcMar>
              <w:top w:w="0" w:type="dxa"/>
              <w:left w:w="108" w:type="dxa"/>
              <w:bottom w:w="0" w:type="dxa"/>
              <w:right w:w="108" w:type="dxa"/>
            </w:tcMar>
            <w:hideMark/>
          </w:tcPr>
          <w:p w:rsidR="00BB7732" w:rsidRPr="00BB7732" w:rsidRDefault="00BB7732" w:rsidP="00BB7732">
            <w:pPr>
              <w:spacing w:before="120" w:after="0" w:line="240" w:lineRule="auto"/>
              <w:rPr>
                <w:rFonts w:eastAsia="Times New Roman" w:cs="Times New Roman"/>
                <w:color w:val="000000"/>
                <w:sz w:val="20"/>
              </w:rPr>
            </w:pPr>
            <w:r w:rsidRPr="00BB7732">
              <w:rPr>
                <w:rFonts w:eastAsia="Times New Roman" w:cs="Times New Roman"/>
                <w:color w:val="000000"/>
                <w:sz w:val="20"/>
                <w:lang w:val="vi-VN"/>
              </w:rPr>
              <w:lastRenderedPageBreak/>
              <w:t>19. Quản lý, vận hành</w:t>
            </w:r>
          </w:p>
        </w:tc>
        <w:tc>
          <w:tcPr>
            <w:tcW w:w="6228" w:type="dxa"/>
            <w:tcMar>
              <w:top w:w="0" w:type="dxa"/>
              <w:left w:w="108" w:type="dxa"/>
              <w:bottom w:w="0" w:type="dxa"/>
              <w:right w:w="108" w:type="dxa"/>
            </w:tcMar>
            <w:hideMark/>
          </w:tcPr>
          <w:p w:rsidR="00BB7732" w:rsidRPr="00BB7732" w:rsidRDefault="00BB7732" w:rsidP="00BB7732">
            <w:pPr>
              <w:spacing w:before="120" w:after="0" w:line="240" w:lineRule="auto"/>
              <w:rPr>
                <w:rFonts w:eastAsia="Times New Roman" w:cs="Times New Roman"/>
                <w:color w:val="000000"/>
                <w:sz w:val="20"/>
              </w:rPr>
            </w:pPr>
            <w:r w:rsidRPr="00BB7732">
              <w:rPr>
                <w:rFonts w:eastAsia="Times New Roman" w:cs="Times New Roman"/>
                <w:color w:val="000000"/>
                <w:sz w:val="20"/>
                <w:lang w:val="vi-VN"/>
              </w:rPr>
              <w:t>Có đơn vị quản lý, vận hành chuyên nghiệp.</w:t>
            </w:r>
          </w:p>
        </w:tc>
      </w:tr>
      <w:tr w:rsidR="00BB7732" w:rsidRPr="00BB7732" w:rsidTr="00BB7732">
        <w:tc>
          <w:tcPr>
            <w:tcW w:w="2628" w:type="dxa"/>
            <w:tcMar>
              <w:top w:w="0" w:type="dxa"/>
              <w:left w:w="108" w:type="dxa"/>
              <w:bottom w:w="0" w:type="dxa"/>
              <w:right w:w="108" w:type="dxa"/>
            </w:tcMar>
            <w:hideMark/>
          </w:tcPr>
          <w:p w:rsidR="00BB7732" w:rsidRPr="00BB7732" w:rsidRDefault="00BB7732" w:rsidP="00BB7732">
            <w:pPr>
              <w:spacing w:before="120" w:after="0" w:line="240" w:lineRule="auto"/>
              <w:rPr>
                <w:rFonts w:eastAsia="Times New Roman" w:cs="Times New Roman"/>
                <w:color w:val="000000"/>
                <w:sz w:val="20"/>
              </w:rPr>
            </w:pPr>
            <w:r w:rsidRPr="00BB7732">
              <w:rPr>
                <w:rFonts w:eastAsia="Times New Roman" w:cs="Times New Roman"/>
                <w:color w:val="000000"/>
                <w:sz w:val="20"/>
                <w:lang w:val="vi-VN"/>
              </w:rPr>
              <w:t>20. Bảo vệ an ninh</w:t>
            </w:r>
          </w:p>
        </w:tc>
        <w:tc>
          <w:tcPr>
            <w:tcW w:w="6228" w:type="dxa"/>
            <w:tcMar>
              <w:top w:w="0" w:type="dxa"/>
              <w:left w:w="108" w:type="dxa"/>
              <w:bottom w:w="0" w:type="dxa"/>
              <w:right w:w="108" w:type="dxa"/>
            </w:tcMar>
            <w:hideMark/>
          </w:tcPr>
          <w:p w:rsidR="00BB7732" w:rsidRPr="00BB7732" w:rsidRDefault="00BB7732" w:rsidP="00BB7732">
            <w:pPr>
              <w:spacing w:before="120" w:after="0" w:line="240" w:lineRule="auto"/>
              <w:rPr>
                <w:rFonts w:eastAsia="Times New Roman" w:cs="Times New Roman"/>
                <w:color w:val="000000"/>
                <w:sz w:val="20"/>
              </w:rPr>
            </w:pPr>
            <w:r w:rsidRPr="00BB7732">
              <w:rPr>
                <w:rFonts w:eastAsia="Times New Roman" w:cs="Times New Roman"/>
                <w:color w:val="000000"/>
                <w:sz w:val="20"/>
                <w:lang w:val="vi-VN"/>
              </w:rPr>
              <w:t>Có hệ thống camera kiểm soát trong bãi đỗ xe, sảnh, hành lang, cầu thang.</w:t>
            </w:r>
          </w:p>
        </w:tc>
      </w:tr>
    </w:tbl>
    <w:p w:rsidR="00BB7732" w:rsidRPr="00BB7732" w:rsidRDefault="00BB7732" w:rsidP="00BB7732">
      <w:pPr>
        <w:spacing w:before="120" w:after="0" w:line="240" w:lineRule="auto"/>
        <w:rPr>
          <w:rFonts w:eastAsia="Times New Roman" w:cs="Times New Roman"/>
          <w:color w:val="000000"/>
          <w:sz w:val="20"/>
        </w:rPr>
      </w:pPr>
      <w:r w:rsidRPr="00BB7732">
        <w:rPr>
          <w:rFonts w:eastAsia="Times New Roman" w:cs="Times New Roman"/>
          <w:color w:val="000000"/>
          <w:sz w:val="20"/>
        </w:rPr>
        <w:t> </w:t>
      </w:r>
    </w:p>
    <w:p w:rsidR="005479A7" w:rsidRPr="00BB7732" w:rsidRDefault="005479A7" w:rsidP="00BB7732">
      <w:pPr>
        <w:rPr>
          <w:rFonts w:cs="Times New Roman"/>
          <w:sz w:val="20"/>
        </w:rPr>
      </w:pPr>
    </w:p>
    <w:sectPr w:rsidR="005479A7" w:rsidRPr="00BB7732" w:rsidSect="00FB4C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14"/>
    <w:rsid w:val="00331514"/>
    <w:rsid w:val="005479A7"/>
    <w:rsid w:val="005C1AFE"/>
    <w:rsid w:val="00BB7732"/>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89EF8-7DB6-4CF5-B793-AD0B5D33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43002">
      <w:bodyDiv w:val="1"/>
      <w:marLeft w:val="0"/>
      <w:marRight w:val="0"/>
      <w:marTop w:val="0"/>
      <w:marBottom w:val="0"/>
      <w:divBdr>
        <w:top w:val="none" w:sz="0" w:space="0" w:color="auto"/>
        <w:left w:val="none" w:sz="0" w:space="0" w:color="auto"/>
        <w:bottom w:val="none" w:sz="0" w:space="0" w:color="auto"/>
        <w:right w:val="none" w:sz="0" w:space="0" w:color="auto"/>
      </w:divBdr>
    </w:div>
    <w:div w:id="198616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Huong-PC</cp:lastModifiedBy>
  <cp:revision>4</cp:revision>
  <dcterms:created xsi:type="dcterms:W3CDTF">2019-01-19T02:38:00Z</dcterms:created>
  <dcterms:modified xsi:type="dcterms:W3CDTF">2019-01-19T02:40:00Z</dcterms:modified>
</cp:coreProperties>
</file>