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A - Đối với cấp lại, đổi, điều chỉnh thông tin trên sổ BHXH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1. </w:t>
      </w:r>
      <w:r w:rsidRPr="00417563">
        <w:rPr>
          <w:rFonts w:ascii="Arial" w:hAnsi="Arial" w:cs="Arial"/>
          <w:sz w:val="20"/>
          <w:szCs w:val="26"/>
        </w:rPr>
        <w:t>Trường hợp cấp lại sổ BHXH do mất, hỏng: Tờ khai tham gia, điều chỉnh thông tin BHXH, BHYT (mẫu TK1-TS).</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2. </w:t>
      </w:r>
      <w:r w:rsidRPr="00417563">
        <w:rPr>
          <w:rFonts w:ascii="Arial" w:hAnsi="Arial" w:cs="Arial"/>
          <w:sz w:val="20"/>
          <w:szCs w:val="26"/>
        </w:rPr>
        <w:t>Trường hợp gộp sổ BHXH: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Tờ khai tham gia, điều chỉnh thông tin BHXH, BHYT (mẫu TK1-TS);</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Các sổ BHXH đề nghị gộp (nếu có).</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3. </w:t>
      </w:r>
      <w:r w:rsidRPr="00417563">
        <w:rPr>
          <w:rFonts w:ascii="Arial" w:hAnsi="Arial" w:cs="Arial"/>
          <w:sz w:val="20"/>
          <w:szCs w:val="26"/>
        </w:rPr>
        <w:t>Trường hợp cấp lại sổ BHXH do thay đổi họ, tên, chữ đệm; ngày, tháng, năm sinh; giới tính, quốc tịch, dân tộc, điều chỉnh nội dung trên sổ BHXH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3.1. </w:t>
      </w:r>
      <w:r w:rsidRPr="00417563">
        <w:rPr>
          <w:rFonts w:ascii="Arial" w:hAnsi="Arial" w:cs="Arial"/>
          <w:sz w:val="20"/>
          <w:szCs w:val="26"/>
        </w:rPr>
        <w:t>Đối với người tham gia:</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Tờ khai tham gia, điều chỉnh thông tin BHXH, BHYT (mẫu TK1-TS).</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Hồ sơ liên quan kèm theo tương ứng như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a) Trường hợp điều chỉnh thay đổi họ, tên, chữ đệm; ngày, tháng, năm sinh; giới tính; </w:t>
      </w:r>
      <w:r w:rsidRPr="00417563">
        <w:rPr>
          <w:rFonts w:ascii="Arial" w:hAnsi="Arial" w:cs="Arial"/>
          <w:i/>
          <w:iCs/>
          <w:sz w:val="20"/>
          <w:szCs w:val="26"/>
        </w:rPr>
        <w:t>dân tộc</w:t>
      </w:r>
      <w:r w:rsidRPr="00417563">
        <w:rPr>
          <w:rFonts w:ascii="Arial" w:hAnsi="Arial" w:cs="Arial"/>
          <w:sz w:val="20"/>
          <w:szCs w:val="26"/>
        </w:rPr>
        <w:t>; quốc tịch: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Căn cước công dân hoặc hộ chiếu do cơ quan có thẩm quyền cấp theo quy định.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Nếu là Đảng viên: cung cấp thêm lý lịch đảng viên (hồ sơ gốc) khi được kết nạp vào Đảng.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 Trường hợp người tham gia thay đổi nơi làm việc: Quyết định (văn bản) chứng minh địa điểm làm việc.</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(tài liệu hồ sơ nộp theo hướng dẫn tại Mục 3, 4 Phụ lục 01).</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3.2. </w:t>
      </w:r>
      <w:r w:rsidRPr="00417563">
        <w:rPr>
          <w:rFonts w:ascii="Arial" w:hAnsi="Arial" w:cs="Arial"/>
          <w:sz w:val="20"/>
          <w:szCs w:val="26"/>
        </w:rPr>
        <w:t>Đối với Đơn vị: trong trường hợp NLĐ nộp hồ sơ qua đơn vị.</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Xác nhận vào Tờ khai (TK1-TS) khi NLĐ đề nghị điều chỉnh thông tin nhân thân trên sổ BHXH. Nội dung xác nhận: Thông tin điều chỉnh là đúng với hồ sơ quản lý và chịu trách nhiệm trước pháp luật về nội dung xác nhận, ký, đóng dấu và ghi rõ họ tên (Đối với người đang bảo lưu thời gian đóng BHXH thì không phải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 </w:t>
      </w:r>
      <w:r w:rsidRPr="00417563">
        <w:rPr>
          <w:rFonts w:ascii="Arial" w:hAnsi="Arial" w:cs="Arial"/>
          <w:i/>
          <w:iCs/>
          <w:sz w:val="20"/>
          <w:szCs w:val="26"/>
        </w:rPr>
        <w:t>Các hồ sơ, tài liệu kèm theo do NLĐ cung cấp</w:t>
      </w:r>
      <w:r w:rsidRPr="00417563">
        <w:rPr>
          <w:rFonts w:ascii="Arial" w:hAnsi="Arial" w:cs="Arial"/>
          <w:sz w:val="20"/>
          <w:szCs w:val="26"/>
        </w:rPr>
        <w:t>.</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3.3. </w:t>
      </w:r>
      <w:r w:rsidRPr="00417563">
        <w:rPr>
          <w:rFonts w:ascii="Arial" w:hAnsi="Arial" w:cs="Arial"/>
          <w:i/>
          <w:iCs/>
          <w:sz w:val="20"/>
          <w:szCs w:val="26"/>
        </w:rPr>
        <w:t>Đối với cơ quan BHXH (Phòng/Tổ chế độ BHXH): Lập danh sách và hồ sơ người lao động giải quyết BHXH một lần còn thời gian BHTN chưa hưởng; người tham gia hưởng, dừng hưởng, hủy hưởng trợ cấp thất nghiệp (Mẫu D16-TS) gửi Phòng/Tổ Quản lý Thu - Sổ, Thẻ để đối chiếu và xác nhận lại dữ liệu tổng thời gian đóng BHTN chưa hưởng trên cơ sở dữ liệu thu toàn quốc.</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4. </w:t>
      </w:r>
      <w:r w:rsidRPr="00417563">
        <w:rPr>
          <w:rFonts w:ascii="Arial" w:hAnsi="Arial" w:cs="Arial"/>
          <w:sz w:val="20"/>
          <w:szCs w:val="26"/>
        </w:rPr>
        <w:t>Trường hợp ghi xác nhận thời gian đóng BHXH trên sổ BHXH cho người tham gia được cộng nối thời gian nhưng không phải đóng BHXH trước năm 1995:</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Tờ khai tham gia, điều chỉnh thông tin BHXH, BHYT (mẫu TK1-TS)</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 Hồ sơ liên quan kèm theo tương ứng với từng trường hợp </w:t>
      </w:r>
      <w:r w:rsidRPr="00417563">
        <w:rPr>
          <w:rFonts w:ascii="Arial" w:hAnsi="Arial" w:cs="Arial"/>
          <w:i/>
          <w:iCs/>
          <w:sz w:val="20"/>
          <w:szCs w:val="26"/>
        </w:rPr>
        <w:t>(theo hướng dẫn tại mục 1 Phụ lục 01 ban hành kèm theo Quyết định số 948/QĐ-BHXH ngày 05/6/2023 của BHXH Việt Nam)</w:t>
      </w:r>
      <w:r w:rsidRPr="00417563">
        <w:rPr>
          <w:rFonts w:ascii="Arial" w:hAnsi="Arial" w:cs="Arial"/>
          <w:sz w:val="20"/>
          <w:szCs w:val="26"/>
        </w:rPr>
        <w:t>, như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4.1. </w:t>
      </w:r>
      <w:r w:rsidRPr="00417563">
        <w:rPr>
          <w:rFonts w:ascii="Arial" w:hAnsi="Arial" w:cs="Arial"/>
          <w:sz w:val="20"/>
          <w:szCs w:val="26"/>
        </w:rPr>
        <w:t>Trường hợp cấp và ghi xác nhận thời gian đóng BHXH cho người lao động có thời gian công tác trước năm 1995 (không bao gồm người bị kỷ luật buộc thôi việc hoặc tự ý bỏ việc, bị phạt tù giam trước ngày 01/01/1995), hồ sơ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a) Lý lịch gốc và lý lịch bổ sung (nếu có) của người lao động, quyết định tiếp nhận, hợp đồng lao động, các giấy tờ có liên quan khác như: quyết định nâng bậc lương, quyết định điều động hoặc quyết định </w:t>
      </w:r>
      <w:r w:rsidRPr="00417563">
        <w:rPr>
          <w:rFonts w:ascii="Arial" w:hAnsi="Arial" w:cs="Arial"/>
          <w:sz w:val="20"/>
          <w:szCs w:val="26"/>
        </w:rPr>
        <w:lastRenderedPageBreak/>
        <w:t>chuyển công tác, quyết định phục viên xuất ngũ, chuyển ngành, giấy thôi trả lương ...;</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 Đối với người nghỉ chờ việc từ tháng 11/1987 đến trước ngày 01/01/1995: hồ sơ như điểm a, thêm Quyết định nghỉ chờ việc và Danh sách của đơn vị hoặc các giấy tờ xác định người lao động có tên trong danh sách của đơn vị đến ngày 31/12/1994.</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Trường hợp đơn vị đã giải thể thì do cơ quan quản lý cấp trên trực tiếp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4.2. </w:t>
      </w:r>
      <w:r w:rsidRPr="00417563">
        <w:rPr>
          <w:rFonts w:ascii="Arial" w:hAnsi="Arial" w:cs="Arial"/>
          <w:sz w:val="20"/>
          <w:szCs w:val="26"/>
        </w:rPr>
        <w:t>Trường hợp cấp và ghi xác nhận thời gian đóng BHXH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thời hạn nhưng đơn vị cũ không bố trí, sắp xếp được việc làm và người lao động tự do được cử đi hợp tác lao động sau khi về nước tiếp tục tham gia đóng BHXH bắt buộc (không bao gồm những trường hợp vi phạm pháp luật ở nước ngoài bị trục xuất về nước hoặc bị kỷ luật buộc phải về nước hoặc bị phạt tù giam trước ngày 01/01/1995):</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a) Hồ sơ kèm theo của người lao động có thời hạn ở nước ngoài theo Hiệp định của Chính phủ và của người đi làm đội trưởng, phiên dịch, cán bộ vùng do nước ngoài trả lương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 Hồ sơ kèm theo của người đi làm việc ở nước ngoài theo hình thức hợp tác trực tiếp giữa các Bộ, ngành và UBND các tỉnh, thành phố với các tổ chức kinh tế của nước ngoài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 Trường hợp không còn bản chính Quyết định cử đi công tác, làm việc có thời hạn ở nước ngoài thì </w:t>
      </w:r>
      <w:r w:rsidRPr="00417563">
        <w:rPr>
          <w:rFonts w:ascii="Arial" w:hAnsi="Arial" w:cs="Arial"/>
          <w:sz w:val="20"/>
          <w:szCs w:val="26"/>
        </w:rPr>
        <w:lastRenderedPageBreak/>
        <w:t>được thay thế bằng bản sao Quyết định có xác nhận của đơn vị cử đi.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c) Hồ sơ kèm theo của người đi học tập, thực tập ở nước ngoài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Trường hợp không còn bản chính Quyết định cử đi học tập, thực tập có thời hạn ở nước ngoài thì được thay thế bằng bản sao Quyết định có xác nhận của đơn vị cử đi.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d) Hồ sơ kèm theo của người đi làm chuyên gia theo Hiệp định của Chính phủ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Bản chính Quyết định cử đi làm chuyên gia ở nước ngoài hoặc bản sao Quyết định trong trường hợp người lao động được cử đi làm chuyên gia bằng một Quyết định chung cho nhiều người.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Trường hợp không còn bản chính Quyết định cử đi làm chuyên gia ở nước ngoài thì được thay thế bằng bản sao Quyết định có xác nhận của đơn vị cử đi.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w:t>
      </w:r>
      <w:r w:rsidRPr="00417563">
        <w:rPr>
          <w:rFonts w:ascii="Arial" w:hAnsi="Arial" w:cs="Arial"/>
          <w:sz w:val="20"/>
          <w:szCs w:val="26"/>
        </w:rPr>
        <w:lastRenderedPageBreak/>
        <w:t>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của cơ quan quản lý chuyên gia về việc đã hoàn thành nghĩa vụ đóng góp cho ngân sách nhà nước và đóng BHXH theo quy định của Nhà nước của chuyên gia trong thời gian làm việc ở nước ngoài.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4.3. </w:t>
      </w:r>
      <w:r w:rsidRPr="00417563">
        <w:rPr>
          <w:rFonts w:ascii="Arial" w:hAnsi="Arial" w:cs="Arial"/>
          <w:sz w:val="20"/>
          <w:szCs w:val="26"/>
        </w:rPr>
        <w:t xml:space="preserve">Ghi xác nhận thời gian đóng BHXH </w:t>
      </w:r>
      <w:r w:rsidRPr="00417563">
        <w:rPr>
          <w:rFonts w:ascii="Arial" w:hAnsi="Arial" w:cs="Arial"/>
          <w:i/>
          <w:iCs/>
          <w:sz w:val="20"/>
          <w:szCs w:val="26"/>
        </w:rPr>
        <w:t>đối với cán bộ có thời gian làm việc ở xã, phường, thị trấn, bao gồm cả chức danh khác theo quy định tại Khoản 4, Điều 8 Thông tư liên tịch số 03/2010/TTLT-BNV-BTC-BLĐTBXH</w:t>
      </w:r>
      <w:r w:rsidRPr="00417563">
        <w:rPr>
          <w:rFonts w:ascii="Arial" w:hAnsi="Arial" w:cs="Arial"/>
          <w:sz w:val="20"/>
          <w:szCs w:val="26"/>
        </w:rPr>
        <w:t>, hồ sơ kèm theo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 Hồ sơ, lý lịch gốc của cá nhân;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 Các giấy tờ liên quan chứng minh thời gian làm việc ở xã, phường, thị trấn (danh sách, Quyết định phân công, Quyết định hưởng sinh hoạt phí...).</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4.4. </w:t>
      </w:r>
      <w:r w:rsidRPr="00417563">
        <w:rPr>
          <w:rFonts w:ascii="Arial" w:hAnsi="Arial" w:cs="Arial"/>
          <w:sz w:val="20"/>
          <w:szCs w:val="26"/>
        </w:rPr>
        <w:t>Trường hợp ghi xác nhận thời gian đóng BHXH đối với người có thời gian làm Chủ nhiệm Hợp tác xã nông nghiệp, ngư nghiệp, diêm nghiệp có quy mô toàn xã, hồ sơ kèm theo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Danh sách phê duyệt hồ sơ tính thời gian làm Chủ nhiệm Hợp tác xã của UBND tỉnh.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4.5. </w:t>
      </w:r>
      <w:r w:rsidRPr="00417563">
        <w:rPr>
          <w:rFonts w:ascii="Arial" w:hAnsi="Arial" w:cs="Arial"/>
          <w:sz w:val="20"/>
          <w:szCs w:val="26"/>
        </w:rPr>
        <w:t>Trường hợp ghi xác nhận thời gian đóng BHXH theo quy định tại Khoản 2, Điều 23 Nghị định số 115/2015/NĐ-CP ngày 11/11/2015 của Chính phủ, hồ sơ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khi phục viên xuất ngũ thường trú tại địa phương hoặc Lý lịch Quân nhân, Lý lịch Đảng viên xác định rõ thời gian công tác trong quân đội;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2/10/2008; Quyết định số 38/2010/QĐ-TTg ngày 06/5/2010; Quyết định số 53/2010/QĐ-TTg ngày 20/8/2010 và Quyết định số 62/2011/QĐ-TTg ngày 09/11/2011 của Thủ tướng Chính phủ;</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 Quyết định về việc thu hồi Quyết định hưởng chế độ và số tiền trợ cấp một lần theo Quyết định số </w:t>
      </w:r>
      <w:r w:rsidRPr="00417563">
        <w:rPr>
          <w:rFonts w:ascii="Arial" w:hAnsi="Arial" w:cs="Arial"/>
          <w:sz w:val="20"/>
          <w:szCs w:val="26"/>
        </w:rPr>
        <w:lastRenderedPageBreak/>
        <w:t xml:space="preserve">142/2008/QĐ-TTg ngày 27/10/2008 của Thủ tướng Chính phủ hoặc Quyết định số 38/2010/QĐ- TTg ngày 06/05/10 của Thủ tướng Chính phủ hoặc Quyết định thu hồi các Quyết định hưởng trợ cấp hàng tháng hoặc trợ cấp một lần theo quy định tại Quyết định số 62/2011/QĐ-TTg ngày 09/11/2011 của Thủ tướng Chính phủ </w:t>
      </w:r>
      <w:r w:rsidRPr="00417563">
        <w:rPr>
          <w:rFonts w:ascii="Arial" w:hAnsi="Arial" w:cs="Arial"/>
          <w:i/>
          <w:iCs/>
          <w:sz w:val="20"/>
          <w:szCs w:val="26"/>
        </w:rPr>
        <w:t>(nếu có)</w:t>
      </w:r>
      <w:r w:rsidRPr="00417563">
        <w:rPr>
          <w:rFonts w:ascii="Arial" w:hAnsi="Arial" w:cs="Arial"/>
          <w:sz w:val="20"/>
          <w:szCs w:val="26"/>
        </w:rPr>
        <w:t>.</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5. Điều chỉnh làm nghề hoặc công việc nặng nhọc, độc hại, nguy hiểm hoặc đặc biệt nặng nhọc, độc hại nguy hiểm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a) Tờ khai tham gia, điều chỉnh thông tin BHXH, BHYT (mẫu TK1-TS);</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 Hồ sơ kèm theo gồm một trong các loại giấy tờ sau: Quyết định phân công vị trí công việc, hưởng lương; Hợp đồng lao động, Hợp đồng làm việc và các giấy tờ khác có liên quan tới việc điều chỉnh.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B - Đối với cấp lại, đổi, điều chỉnh thông tin trên thẻ BHYT:</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1. </w:t>
      </w:r>
      <w:r w:rsidRPr="00417563">
        <w:rPr>
          <w:rFonts w:ascii="Arial" w:hAnsi="Arial" w:cs="Arial"/>
          <w:sz w:val="20"/>
          <w:szCs w:val="26"/>
        </w:rPr>
        <w:t>Người tham gia:</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 </w:t>
      </w:r>
      <w:r w:rsidRPr="00417563">
        <w:rPr>
          <w:rFonts w:ascii="Arial" w:hAnsi="Arial" w:cs="Arial"/>
          <w:sz w:val="20"/>
          <w:szCs w:val="26"/>
        </w:rPr>
        <w:t>Tờ khai tham gia, điều chỉnh thông tin BHXH, BHYT (Mẫu TK1-TS)</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Lưu ý: Người tham gia BHYT được thay đổi cơ sở đăng ký khám chữa bệnh ban đầu vào tháng đầu quý.</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1.1. </w:t>
      </w:r>
      <w:r w:rsidRPr="00417563">
        <w:rPr>
          <w:rFonts w:ascii="Arial" w:hAnsi="Arial" w:cs="Arial"/>
          <w:sz w:val="20"/>
          <w:szCs w:val="26"/>
        </w:rPr>
        <w:t>Trường hợp NLĐ đổi thẻ BHYT do được hưởng quyền lợi BHYT cao hơn bổ sung Giấy tờ chứng minh cụ thể như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a) Đối với người có công với cách mạng quy định tại Pháp lệnh Ưu đãi người có công với cách mạng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a.1) Người có công với cách mạng theo quy định tại Pháp lệnh Ưu đãi người có công với cách mạng, bao gồm: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người hoạt động kháng chiến bị nhiễm chất độc hóa học có tỷ lệ suy giảm khả năng lao động từ 81% trở lên. Hồ sơ gồm một trong các loại giấy tờ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Thẻ thương binh, thẻ bệnh binh;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chứng nhận người hưởng chính sách như thương binh;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hưởng trợ cấp của Sở Lao động - Thương binh và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của Sở Lao động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hưởng trợ cấp, phụ cấp đối với người hoạt động kháng chiến bị nhiễm chất độc hóa học, ghi rõ tỷ lệ suy giảm khả năng lao động từ 81% trở lên theo quy định tại Thông tư số 05/2013/TT- BLĐTBXH ngày 15/5/2013 của Bộ Lao động - Thương binh &amp;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a.2) Người có công với cách mạng theo quy định tại Pháp lệnh ưu đãi người có công với cách mạng, trừ các đối tượng nêu tại điểm a.1. Hồ sơ gồm một trong các loại giấy tờ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Huân chương Kháng chiến;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lastRenderedPageBreak/>
        <w:t>- Huy chương Kháng chiến;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Huân chương Chiến thắng;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Huy chương Chiến thắng;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Thẻ thương binh, thẻ bệnh binh;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chứng nhận người hưởng chính sách như thương binh;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chứng nhận về khen thưởng tổng kết thành tích kháng chiến và thời gian hoạt động kháng chiến của cơ quan Thi đua Khen thưởng cấp huyện;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hưởng trợ cấp của Sở Lao động - Thương binh và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của Sở Lao động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 Cựu chiến binh theo quy định tại Nghị định số 150/2006/NĐ-CP, Nghị định số 157/2016/NĐ-CP</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b.1) Đối với cựu chiến binh giai đoạn trước 30/4/1975, hồ sơ gồm một trong các loại giấy tờ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phục viên hoặc xuất ngũ hoặc chuyển ngành.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được hưởng trợ cấp theo Quyết định số 142/2008/QĐ-TTg;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được hưởng trợ cấp theo QĐ số 38/2010/QĐ-TTg.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b.2) Cựu chiến binh giai đoạn từ 30/4/1975 đến trước thời kỳ xây dựng và bảo vệ Tổ quốc: Hồ sơ gồm một trong các loại giấy tờ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bản xác nhận về địa bàn phục vụ trong quân đội của cấp trung đoàn hoặc tương đương trở lên nơi trực tiếp quản lý đối tượng trước khi phục viên, xuất ngũ theo mẫu số 04B-HBKV - Bản khai cá nhân về thời gian, địa bàn phục vụ trong quân đội có hưởng phụ cấp khu vực (ban hành kèm theo Thông tư số 181/2016/TT-BQP đối với người có thời gian phục vụ trong quân đội trước ngày 01/01/2007)</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Quyết định được hưởng trợ cấp theo Quyết định 62/2011/QĐ-TTg đối với các trường hợp là cựu chiến binh quy định tại Nghị định số 146/2018/NĐ-CP.</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b.3) Đối với sỹ quan, quân nhân chuyên nghiệp đã hoàn thành nhiệm vụ tại ngũ trong thời kỳ xây dựng và bảo vệ tổ quốc đã nghỉ hưu, phục viên, chuyển ngành: Quyết định phục viên, xuất ngũ hoặc chuyển ngành.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c) Đối với cha đẻ, mẹ đẻ, vợ hoặc chồng, con của liệt sỹ; người có công nuôi dưỡng liệt sỹ. Hồ sơ kèm theo gồm một trong các giấy tờ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chứng nhận gia đình liệt sỹ hoặc Quyết định cấp Giấy chứng nhận gia đình liệt sỹ và trợ cấp tiền tuất của Sở Lao động Thương binh và Xã hội theo quy định tại Thông tư 05/2013/TT- BLĐTBXH ngày 15/5/2013 của Bộ Lao động - Thương binh và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xác nhận của Sở Lao động Thương binh và Xã hội nơi tiếp nhận, quản lý hồ sơ và làm thủ tục mua BHYT cho thân nhân của liệt sỹ và người có công nuôi dưỡng liệt sỹ theo quy định tại Thông tư số 05/2013/TT-BLĐTBXH.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lastRenderedPageBreak/>
        <w:t>d) Thân nhân người có công với cách mạng (trừ trường hợp là cha đẻ, mẹ đẻ, vợ hoặc chồng, con của liệt sỹ; người có công nuôi dưỡng liệt sỹ), bao gồm:</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Hồ sơ gồm giấy tờ sau: 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 xml:space="preserve">đ) Người thuộc đối tượng bảo trợ xã hội theo Nghị định số 20/2021/NĐ-CP ngày 15/3/2021 của Chính phủ. </w:t>
      </w:r>
      <w:r w:rsidRPr="00417563">
        <w:rPr>
          <w:rFonts w:ascii="Arial" w:hAnsi="Arial" w:cs="Arial"/>
          <w:sz w:val="20"/>
          <w:szCs w:val="26"/>
        </w:rPr>
        <w:t>Hồ sơ kèm theo gồm một trong các loại giấy tờ sau</w:t>
      </w:r>
      <w:r w:rsidRPr="00417563">
        <w:rPr>
          <w:rFonts w:ascii="Arial" w:hAnsi="Arial" w:cs="Arial"/>
          <w:i/>
          <w:iCs/>
          <w:sz w:val="20"/>
          <w:szCs w:val="26"/>
        </w:rPr>
        <w:t>:</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 Giấy xác nhận khuyết tật, ghi rõ mức độ khuyết tật thuộc các đối tượng người khuyết tật nặng và người khuyến tật đặc biệt nặng theo Thông tư số 01/2019/TT-BLĐTBXH ngày 02/01/2019.</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 Quyết định trợ cấp xã hội hằng tháng của Chủ tịch Ủy ban nhân dân quận, huyện, thị xã (sau đây gọi là Ủy ban nhân dân cấp huyện) đối với người thuộc diện hưởng trợ cấp bảo trợ xã hội hằng tháng</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i/>
          <w:iCs/>
          <w:sz w:val="20"/>
          <w:szCs w:val="26"/>
        </w:rPr>
        <w:t xml:space="preserve">e) </w:t>
      </w:r>
      <w:r w:rsidRPr="00417563">
        <w:rPr>
          <w:rFonts w:ascii="Arial" w:hAnsi="Arial" w:cs="Arial"/>
          <w:sz w:val="20"/>
          <w:szCs w:val="26"/>
        </w:rPr>
        <w:t>Người thuộc hộ gia đình nghèo; hộ gia đình cận nghèo</w:t>
      </w:r>
      <w:r w:rsidRPr="00417563">
        <w:rPr>
          <w:rFonts w:ascii="Arial" w:hAnsi="Arial" w:cs="Arial"/>
          <w:i/>
          <w:iCs/>
          <w:sz w:val="20"/>
          <w:szCs w:val="26"/>
        </w:rPr>
        <w:t xml:space="preserve">; hộ gia đình làm nông nghiệp, lâm nghiệp, ngư nghiệp và diêm nghiệp có mức sống trung bình. </w:t>
      </w:r>
      <w:r w:rsidRPr="00417563">
        <w:rPr>
          <w:rFonts w:ascii="Arial" w:hAnsi="Arial" w:cs="Arial"/>
          <w:sz w:val="20"/>
          <w:szCs w:val="26"/>
        </w:rPr>
        <w:t>Hồ sơ kèm theo gồm một trong các loại giấy tờ sau</w:t>
      </w:r>
      <w:r w:rsidRPr="00417563">
        <w:rPr>
          <w:rFonts w:ascii="Arial" w:hAnsi="Arial" w:cs="Arial"/>
          <w:i/>
          <w:iCs/>
          <w:sz w:val="20"/>
          <w:szCs w:val="26"/>
        </w:rPr>
        <w:t>:</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Giấy chứng nhận học sinh, sinh viên thuộc hộ nghèo theo Thông tư liên tịch số 18/2009/TTLT- BGDĐT-BTC-BLĐTBXH (03/8/2009);</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Xác nhận của chủ tịch UBND xã, phường, thị trấn đối với người thuộc hộ gia đình nghèo, hộ gia đình cận nghèo theo kết quả rà soát thường xuyên (quy định tại Điều 5 Thông tư số 17/2016/TT- BLĐTBXH và Khoản 2, 3 Điều 1 Thông tư số 14/2018/TT-BLĐTBXH sửa đổi, bổ sung một số điều của Thông tư số 17/2016/TT-BLĐTBXH).</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1.2. </w:t>
      </w:r>
      <w:r w:rsidRPr="00417563">
        <w:rPr>
          <w:rFonts w:ascii="Arial" w:hAnsi="Arial" w:cs="Arial"/>
          <w:i/>
          <w:iCs/>
          <w:sz w:val="20"/>
          <w:szCs w:val="26"/>
        </w:rPr>
        <w:t>Trường hợp điều chỉnh họ, tên, chữ đệm; ngày, tháng, năm sinh; giới tính đối với người chỉ tham gia BHYT</w:t>
      </w:r>
      <w:r w:rsidRPr="00417563">
        <w:rPr>
          <w:rFonts w:ascii="Arial" w:hAnsi="Arial" w:cs="Arial"/>
          <w:sz w:val="20"/>
          <w:szCs w:val="26"/>
        </w:rPr>
        <w:t>; hồ sơ gồm một trong các loại giấy tờ sau</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a</w:t>
      </w:r>
      <w:r w:rsidRPr="00417563">
        <w:rPr>
          <w:rFonts w:ascii="Arial" w:hAnsi="Arial" w:cs="Arial"/>
          <w:i/>
          <w:iCs/>
          <w:sz w:val="20"/>
          <w:szCs w:val="26"/>
        </w:rPr>
        <w:t>) Người chỉ tham gia BHYT thay đổi họ, tên, chữ đệm; ngày, tháng, năm sinh; giới tính trên thẻ BHYT. Hồ sơ gửi kèm theo gồm một trong các giấy tờ sau: Căn cước công dân hoặc hộ chiếu hoặc giấy Thông báo số định danh cá nhân và thông tin trong Cơ sở dữ liệu quốc gia về dân cư (Mẫu số 01 ban hành kèm theo Thông tư số 59/2021/TT-BCA, ngày 15/5/2021)</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sz w:val="20"/>
          <w:szCs w:val="26"/>
        </w:rPr>
        <w:t xml:space="preserve">b) Trường hợp người tham gia đang hưởng chế độ hưu trí hoặc trợ cấp BHXH do cơ quan BHXH quản lý đề nghị điều chỉnh để đi khám bệnh, chữa bệnh: Căn cước công dân </w:t>
      </w:r>
      <w:r w:rsidRPr="00417563">
        <w:rPr>
          <w:rFonts w:ascii="Arial" w:hAnsi="Arial" w:cs="Arial"/>
          <w:i/>
          <w:iCs/>
          <w:sz w:val="20"/>
          <w:szCs w:val="26"/>
        </w:rPr>
        <w:t>(theo hướng dẫn tại Công văn số 2754/BHXH-CSXH ngày 05/9/2023)</w:t>
      </w:r>
    </w:p>
    <w:p w:rsidR="00B366D6" w:rsidRPr="00417563" w:rsidRDefault="00B366D6" w:rsidP="00B366D6">
      <w:pPr>
        <w:widowControl w:val="0"/>
        <w:autoSpaceDE w:val="0"/>
        <w:autoSpaceDN w:val="0"/>
        <w:adjustRightInd w:val="0"/>
        <w:spacing w:before="120"/>
        <w:rPr>
          <w:rFonts w:ascii="Arial" w:hAnsi="Arial" w:cs="Arial"/>
          <w:sz w:val="20"/>
          <w:szCs w:val="26"/>
        </w:rPr>
      </w:pPr>
      <w:r w:rsidRPr="00417563">
        <w:rPr>
          <w:rFonts w:ascii="Arial" w:hAnsi="Arial" w:cs="Arial"/>
          <w:b/>
          <w:bCs/>
          <w:sz w:val="20"/>
          <w:szCs w:val="26"/>
        </w:rPr>
        <w:t xml:space="preserve">Ghi chú: </w:t>
      </w:r>
      <w:r w:rsidRPr="00417563">
        <w:rPr>
          <w:rFonts w:ascii="Arial" w:hAnsi="Arial" w:cs="Arial"/>
          <w:i/>
          <w:iCs/>
          <w:sz w:val="20"/>
          <w:szCs w:val="26"/>
        </w:rPr>
        <w:t>người tham gia không có giấy tờ nêu tại phụ lục, mà có các giấy tờ liên quan khác để chứng minh, làm căn cứ điều chỉnh (trừ các trường hợp: điều chỉnh nhân thân, bổ sung mã nơi đối tượng sinh sống) như: giấy tờ chứng minh là người có công với cách mạng; cựu chiến binh theo quy định tại Pháp lệnh Cựu chiến binh; người tham gia kháng chiến… thì đơn vị nộp các giấy tờ này cho cơ quan BHXH để xem xét, giải quyết</w:t>
      </w:r>
      <w:r w:rsidRPr="00417563">
        <w:rPr>
          <w:rFonts w:ascii="Arial" w:hAnsi="Arial" w:cs="Arial"/>
          <w:sz w:val="20"/>
          <w:szCs w:val="26"/>
        </w:rPr>
        <w:t>.</w:t>
      </w:r>
    </w:p>
    <w:p w:rsidR="00A21894" w:rsidRDefault="00B366D6" w:rsidP="00B366D6">
      <w:r w:rsidRPr="00417563">
        <w:rPr>
          <w:rFonts w:ascii="Arial" w:hAnsi="Arial" w:cs="Arial"/>
          <w:b/>
          <w:bCs/>
          <w:sz w:val="20"/>
          <w:szCs w:val="26"/>
        </w:rPr>
        <w:lastRenderedPageBreak/>
        <w:t xml:space="preserve">2. </w:t>
      </w:r>
      <w:r w:rsidRPr="00417563">
        <w:rPr>
          <w:rFonts w:ascii="Arial" w:hAnsi="Arial" w:cs="Arial"/>
          <w:sz w:val="20"/>
          <w:szCs w:val="26"/>
        </w:rPr>
        <w:t>Đơn vị (trong trường hợp NLĐ nộp hồ sơ qua đơn vị): Xác nhận Tờ khai (TK1-TS) khi NLĐ điều chỉnh thông tin nhân thân trên thẻ BHYT; đối với người đang bảo lưu thời gian đóng BHXH thì đơn vị không phải xác nhận.</w:t>
      </w:r>
      <w:bookmarkStart w:id="0" w:name="_GoBack"/>
      <w:bookmarkEnd w:id="0"/>
    </w:p>
    <w:sectPr w:rsidR="00A218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BA"/>
    <w:rsid w:val="007208BA"/>
    <w:rsid w:val="00A21894"/>
    <w:rsid w:val="00B3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4176D-AEA1-4B38-99C8-2D1D680D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8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0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8BA"/>
    <w:rPr>
      <w:color w:val="0000FF"/>
      <w:u w:val="single"/>
    </w:rPr>
  </w:style>
  <w:style w:type="paragraph" w:customStyle="1" w:styleId="DefaultParagraphFontParaCharCharCharCharChar">
    <w:name w:val="Default Paragraph Font Para Char Char Char Char Char"/>
    <w:autoRedefine/>
    <w:rsid w:val="00B366D6"/>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8617">
      <w:bodyDiv w:val="1"/>
      <w:marLeft w:val="0"/>
      <w:marRight w:val="0"/>
      <w:marTop w:val="0"/>
      <w:marBottom w:val="0"/>
      <w:divBdr>
        <w:top w:val="none" w:sz="0" w:space="0" w:color="auto"/>
        <w:left w:val="none" w:sz="0" w:space="0" w:color="auto"/>
        <w:bottom w:val="none" w:sz="0" w:space="0" w:color="auto"/>
        <w:right w:val="none" w:sz="0" w:space="0" w:color="auto"/>
      </w:divBdr>
    </w:div>
    <w:div w:id="20070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2023-11-03T01:29:00Z</dcterms:created>
  <dcterms:modified xsi:type="dcterms:W3CDTF">2023-11-03T02:37:00Z</dcterms:modified>
</cp:coreProperties>
</file>