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7D" w:rsidRPr="00E2517D" w:rsidRDefault="00E2517D" w:rsidP="00E2517D">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b/>
          <w:bCs/>
          <w:color w:val="000000"/>
          <w:sz w:val="28"/>
          <w:szCs w:val="28"/>
        </w:rPr>
        <w:t>Cấu trúc chương trình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8490"/>
      </w:tblGrid>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b/>
                <w:bCs/>
                <w:color w:val="000000"/>
                <w:sz w:val="28"/>
                <w:szCs w:val="28"/>
              </w:rPr>
              <w:t>STT</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b/>
                <w:bCs/>
                <w:color w:val="000000"/>
                <w:sz w:val="28"/>
                <w:szCs w:val="28"/>
              </w:rPr>
              <w:t>Nội dung</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b/>
                <w:bCs/>
                <w:color w:val="000000"/>
                <w:sz w:val="28"/>
                <w:szCs w:val="28"/>
              </w:rPr>
              <w:t>I</w:t>
            </w:r>
          </w:p>
        </w:tc>
        <w:tc>
          <w:tcPr>
            <w:tcW w:w="4500" w:type="pct"/>
            <w:tcBorders>
              <w:top w:val="single" w:sz="8" w:space="0" w:color="auto"/>
              <w:left w:val="single" w:sz="8" w:space="0" w:color="auto"/>
              <w:bottom w:val="nil"/>
              <w:right w:val="single" w:sz="8" w:space="0" w:color="auto"/>
            </w:tcBorders>
            <w:shd w:val="clear" w:color="auto" w:fill="auto"/>
            <w:vAlign w:val="bottom"/>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b/>
                <w:bCs/>
                <w:color w:val="000000"/>
                <w:sz w:val="28"/>
                <w:szCs w:val="28"/>
              </w:rPr>
              <w:t>Phần I: Các quy định của pháp luật về thuế, phí, lệ phí và nội dung liên quan đến quản lý thuế</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1.1</w:t>
            </w:r>
          </w:p>
        </w:tc>
        <w:tc>
          <w:tcPr>
            <w:tcW w:w="4500" w:type="pct"/>
            <w:tcBorders>
              <w:top w:val="single" w:sz="8" w:space="0" w:color="auto"/>
              <w:left w:val="single" w:sz="8" w:space="0" w:color="auto"/>
              <w:bottom w:val="nil"/>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Các quy định của pháp luật thuế, phí, lệ phí (Chú trọng các nội dung quy định mới ban hành trong năm 2024)</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bottom"/>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1.1.1</w:t>
            </w:r>
          </w:p>
        </w:tc>
        <w:tc>
          <w:tcPr>
            <w:tcW w:w="4500" w:type="pct"/>
            <w:tcBorders>
              <w:top w:val="single" w:sz="8" w:space="0" w:color="auto"/>
              <w:left w:val="single" w:sz="8" w:space="0" w:color="auto"/>
              <w:bottom w:val="nil"/>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Pháp luật thuế Giá trị gia tăng</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bottom"/>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1.1.2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Pháp luật thuế Thu nhập doanh nghiệp</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1.1.3</w:t>
            </w:r>
          </w:p>
        </w:tc>
        <w:tc>
          <w:tcPr>
            <w:tcW w:w="4500" w:type="pct"/>
            <w:tcBorders>
              <w:top w:val="single" w:sz="8" w:space="0" w:color="auto"/>
              <w:left w:val="single" w:sz="8" w:space="0" w:color="auto"/>
              <w:bottom w:val="nil"/>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Pháp luật thuế Thu nhập cá nhân</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1.1.4</w:t>
            </w:r>
          </w:p>
        </w:tc>
        <w:tc>
          <w:tcPr>
            <w:tcW w:w="4500" w:type="pct"/>
            <w:tcBorders>
              <w:top w:val="single" w:sz="8" w:space="0" w:color="auto"/>
              <w:left w:val="single" w:sz="8" w:space="0" w:color="auto"/>
              <w:bottom w:val="nil"/>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Pháp luật về các loại thuế khác; Phí, lệ phí</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1.1.5</w:t>
            </w:r>
          </w:p>
        </w:tc>
        <w:tc>
          <w:tcPr>
            <w:tcW w:w="4500" w:type="pct"/>
            <w:tcBorders>
              <w:top w:val="single" w:sz="8" w:space="0" w:color="auto"/>
              <w:left w:val="single" w:sz="8" w:space="0" w:color="auto"/>
              <w:bottom w:val="nil"/>
              <w:right w:val="single" w:sz="8" w:space="0" w:color="auto"/>
            </w:tcBorders>
            <w:shd w:val="clear" w:color="auto" w:fill="auto"/>
            <w:vAlign w:val="bottom"/>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Giải đáp vướng mắc về chính sách thuế, phí, lệ phí; Những vấn đề cần lưu ý khi áp dụng chính sách thuế, phí, lệ phí</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bottom"/>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Nội dung liên quan đến quản lý thuế</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1.2.1</w:t>
            </w:r>
          </w:p>
        </w:tc>
        <w:tc>
          <w:tcPr>
            <w:tcW w:w="4500" w:type="pct"/>
            <w:tcBorders>
              <w:top w:val="single" w:sz="8" w:space="0" w:color="auto"/>
              <w:left w:val="single" w:sz="8" w:space="0" w:color="auto"/>
              <w:bottom w:val="nil"/>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Nội dung Luật Quản lý thuế, các Nghị định, Thông tư, văn bản pháp luật quy định, hướng dẫn về quản lý thuế (Chú trọng các nội dung quy định mới; các nội dung quy định về hóa đơn điện tử, hóa đơn điện tử khởi tạo từ máy tính tiền; kê khai, nộp thuế, quyết toán thuế; quản lý thuế đối với các doanh nghiệp có giao dịch liên kết; quản lý thuế đối với hoạt động thương mại điện tử, kinh doanh trên nền tảng số; quản lý thuế đối với hoạt động kinh doanh, chuyển nhượng bất động sản; xử lý vi phạm pháp luật về thuế, hóa đơn; chính sách miễn, giảm, gia hạn nộp thuế; ...)</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bottom"/>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1.2.2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Các quy định mới của pháp luật liên quan đến quản lý thuế</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1.2.3</w:t>
            </w:r>
          </w:p>
        </w:tc>
        <w:tc>
          <w:tcPr>
            <w:tcW w:w="4500" w:type="pct"/>
            <w:tcBorders>
              <w:top w:val="single" w:sz="8" w:space="0" w:color="auto"/>
              <w:left w:val="single" w:sz="8" w:space="0" w:color="auto"/>
              <w:bottom w:val="nil"/>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Hướng dẫn thực hành khai hồ sơ thuế (hồ sơ đăng ký thuế, khai thuế, nộp thuế, gia hạn nộp thuế, quyết toán thuế, hồ sơ đề nghị miễn thuế, giảm thuế, hoàn thuế</w:t>
            </w:r>
            <w:proofErr w:type="gramStart"/>
            <w:r w:rsidRPr="00E2517D">
              <w:rPr>
                <w:rFonts w:ascii="Times New Roman" w:eastAsia="Times New Roman" w:hAnsi="Times New Roman" w:cs="Times New Roman"/>
                <w:color w:val="000000"/>
                <w:sz w:val="28"/>
                <w:szCs w:val="28"/>
              </w:rPr>
              <w:t>,...</w:t>
            </w:r>
            <w:proofErr w:type="gramEnd"/>
            <w:r w:rsidRPr="00E2517D">
              <w:rPr>
                <w:rFonts w:ascii="Times New Roman" w:eastAsia="Times New Roman" w:hAnsi="Times New Roman" w:cs="Times New Roman"/>
                <w:color w:val="000000"/>
                <w:sz w:val="28"/>
                <w:szCs w:val="28"/>
              </w:rPr>
              <w:t>)</w:t>
            </w:r>
          </w:p>
        </w:tc>
      </w:tr>
      <w:tr w:rsidR="00E2517D" w:rsidRPr="00E2517D" w:rsidTr="00E2517D">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1.2.4</w:t>
            </w:r>
          </w:p>
        </w:tc>
        <w:tc>
          <w:tcPr>
            <w:tcW w:w="4500" w:type="pct"/>
            <w:tcBorders>
              <w:top w:val="single" w:sz="8" w:space="0" w:color="auto"/>
              <w:left w:val="single" w:sz="8" w:space="0" w:color="auto"/>
              <w:bottom w:val="nil"/>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Giải đáp vướng mắc phát sinh; Những đề cần lưu ý trong quá trình thực hiện pháp luật quản lý thuế</w:t>
            </w:r>
          </w:p>
        </w:tc>
      </w:tr>
      <w:tr w:rsidR="00E2517D" w:rsidRPr="00E2517D" w:rsidTr="00E2517D">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b/>
                <w:bCs/>
                <w:color w:val="000000"/>
                <w:sz w:val="28"/>
                <w:szCs w:val="28"/>
              </w:rPr>
              <w:t>II</w:t>
            </w:r>
          </w:p>
        </w:tc>
        <w:tc>
          <w:tcPr>
            <w:tcW w:w="4500" w:type="pct"/>
            <w:tcBorders>
              <w:top w:val="single" w:sz="8" w:space="0" w:color="auto"/>
              <w:left w:val="single" w:sz="8" w:space="0" w:color="auto"/>
              <w:bottom w:val="single" w:sz="8" w:space="0" w:color="auto"/>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b/>
                <w:bCs/>
                <w:color w:val="000000"/>
                <w:sz w:val="28"/>
                <w:szCs w:val="28"/>
              </w:rPr>
              <w:t>Phần II: Các quy định của pháp luật về kế toán doanh nghiệp</w:t>
            </w:r>
          </w:p>
        </w:tc>
      </w:tr>
      <w:tr w:rsidR="00E2517D" w:rsidRPr="00E2517D" w:rsidTr="00E2517D">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lastRenderedPageBreak/>
              <w:t>2.1</w:t>
            </w:r>
          </w:p>
        </w:tc>
        <w:tc>
          <w:tcPr>
            <w:tcW w:w="4500" w:type="pct"/>
            <w:tcBorders>
              <w:top w:val="nil"/>
              <w:left w:val="single" w:sz="8" w:space="0" w:color="auto"/>
              <w:bottom w:val="single" w:sz="8" w:space="0" w:color="auto"/>
              <w:right w:val="single" w:sz="8" w:space="0" w:color="auto"/>
            </w:tcBorders>
            <w:shd w:val="clear" w:color="auto" w:fill="auto"/>
            <w:vAlign w:val="bottom"/>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Cập nhật các nội dung quy định mới của pháp luật kế toán doanh nghiệp</w:t>
            </w:r>
          </w:p>
        </w:tc>
      </w:tr>
      <w:tr w:rsidR="00E2517D" w:rsidRPr="00E2517D" w:rsidTr="00E2517D">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2.2</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Hướng dẫn lập, soát xét báo cáo tài chính doanh nghiệp</w:t>
            </w:r>
          </w:p>
        </w:tc>
      </w:tr>
      <w:tr w:rsidR="00E2517D" w:rsidRPr="00E2517D" w:rsidTr="00E2517D">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2.3</w:t>
            </w:r>
          </w:p>
        </w:tc>
        <w:tc>
          <w:tcPr>
            <w:tcW w:w="4500" w:type="pct"/>
            <w:tcBorders>
              <w:top w:val="nil"/>
              <w:left w:val="single" w:sz="8" w:space="0" w:color="auto"/>
              <w:bottom w:val="single" w:sz="8" w:space="0" w:color="auto"/>
              <w:right w:val="single" w:sz="8" w:space="0" w:color="auto"/>
            </w:tcBorders>
            <w:shd w:val="clear" w:color="auto" w:fill="auto"/>
            <w:vAlign w:val="bottom"/>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Giải đáp vướng mắc về công tác kế toán; Những vấn đề cần lưu ý khi xử lý khác biệt giữa pháp luật kế toán và pháp luật thuế</w:t>
            </w:r>
          </w:p>
        </w:tc>
      </w:tr>
      <w:tr w:rsidR="00E2517D" w:rsidRPr="00E2517D" w:rsidTr="00E2517D">
        <w:trPr>
          <w:tblCellSpacing w:w="0" w:type="dxa"/>
        </w:trPr>
        <w:tc>
          <w:tcPr>
            <w:tcW w:w="450" w:type="pct"/>
            <w:tcBorders>
              <w:top w:val="nil"/>
              <w:left w:val="single" w:sz="8" w:space="0" w:color="auto"/>
              <w:bottom w:val="single" w:sz="8" w:space="0" w:color="auto"/>
              <w:right w:val="nil"/>
            </w:tcBorders>
            <w:shd w:val="clear" w:color="auto" w:fill="auto"/>
            <w:hideMark/>
          </w:tcPr>
          <w:p w:rsidR="00E2517D" w:rsidRPr="00E2517D" w:rsidRDefault="00E2517D" w:rsidP="00E2517D">
            <w:pPr>
              <w:spacing w:before="120" w:after="120" w:line="234" w:lineRule="atLeast"/>
              <w:jc w:val="center"/>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2.4</w:t>
            </w:r>
          </w:p>
        </w:tc>
        <w:tc>
          <w:tcPr>
            <w:tcW w:w="4500" w:type="pct"/>
            <w:tcBorders>
              <w:top w:val="nil"/>
              <w:left w:val="single" w:sz="8" w:space="0" w:color="auto"/>
              <w:bottom w:val="single" w:sz="8" w:space="0" w:color="auto"/>
              <w:right w:val="single" w:sz="8" w:space="0" w:color="auto"/>
            </w:tcBorders>
            <w:shd w:val="clear" w:color="auto" w:fill="auto"/>
            <w:hideMark/>
          </w:tcPr>
          <w:p w:rsidR="00E2517D" w:rsidRPr="00E2517D" w:rsidRDefault="00E2517D" w:rsidP="00E2517D">
            <w:pPr>
              <w:spacing w:before="120" w:after="120" w:line="234" w:lineRule="atLeast"/>
              <w:rPr>
                <w:rFonts w:ascii="Times New Roman" w:eastAsia="Times New Roman" w:hAnsi="Times New Roman" w:cs="Times New Roman"/>
                <w:color w:val="000000"/>
                <w:sz w:val="28"/>
                <w:szCs w:val="28"/>
              </w:rPr>
            </w:pPr>
            <w:r w:rsidRPr="00E2517D">
              <w:rPr>
                <w:rFonts w:ascii="Times New Roman" w:eastAsia="Times New Roman" w:hAnsi="Times New Roman" w:cs="Times New Roman"/>
                <w:color w:val="000000"/>
                <w:sz w:val="28"/>
                <w:szCs w:val="28"/>
              </w:rPr>
              <w:t>Kỹ năng soát xét, kiểm tra, phát hiện sai sót trong công tác kế toán</w:t>
            </w:r>
          </w:p>
        </w:tc>
      </w:tr>
    </w:tbl>
    <w:p w:rsidR="00E2517D" w:rsidRPr="00E2517D" w:rsidRDefault="00E2517D" w:rsidP="00E2517D">
      <w:pPr>
        <w:shd w:val="clear" w:color="auto" w:fill="FFFFFF"/>
        <w:spacing w:before="120" w:after="120" w:line="234" w:lineRule="atLeast"/>
        <w:rPr>
          <w:rFonts w:ascii="Times New Roman" w:eastAsia="Times New Roman" w:hAnsi="Times New Roman" w:cs="Times New Roman"/>
          <w:color w:val="000000"/>
          <w:sz w:val="28"/>
          <w:szCs w:val="28"/>
        </w:rPr>
      </w:pPr>
    </w:p>
    <w:bookmarkEnd w:id="0"/>
    <w:p w:rsidR="005B6519" w:rsidRPr="00E2517D" w:rsidRDefault="00E2517D" w:rsidP="00E2517D">
      <w:pPr>
        <w:rPr>
          <w:rFonts w:ascii="Times New Roman" w:hAnsi="Times New Roman" w:cs="Times New Roman"/>
          <w:sz w:val="28"/>
          <w:szCs w:val="28"/>
        </w:rPr>
      </w:pPr>
    </w:p>
    <w:sectPr w:rsidR="005B6519" w:rsidRPr="00E251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84"/>
    <w:rsid w:val="00233F69"/>
    <w:rsid w:val="004C4044"/>
    <w:rsid w:val="00543B0B"/>
    <w:rsid w:val="00BA4184"/>
    <w:rsid w:val="00E2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290B7-4190-4F73-8AFD-6E36B5D6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40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0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1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184"/>
    <w:rPr>
      <w:color w:val="0000FF"/>
      <w:u w:val="single"/>
    </w:rPr>
  </w:style>
  <w:style w:type="table" w:styleId="TableGrid">
    <w:name w:val="Table Grid"/>
    <w:basedOn w:val="TableNormal"/>
    <w:uiPriority w:val="39"/>
    <w:rsid w:val="00BA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40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40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0621">
      <w:bodyDiv w:val="1"/>
      <w:marLeft w:val="0"/>
      <w:marRight w:val="0"/>
      <w:marTop w:val="0"/>
      <w:marBottom w:val="0"/>
      <w:divBdr>
        <w:top w:val="none" w:sz="0" w:space="0" w:color="auto"/>
        <w:left w:val="none" w:sz="0" w:space="0" w:color="auto"/>
        <w:bottom w:val="none" w:sz="0" w:space="0" w:color="auto"/>
        <w:right w:val="none" w:sz="0" w:space="0" w:color="auto"/>
      </w:divBdr>
    </w:div>
    <w:div w:id="533620747">
      <w:bodyDiv w:val="1"/>
      <w:marLeft w:val="0"/>
      <w:marRight w:val="0"/>
      <w:marTop w:val="0"/>
      <w:marBottom w:val="0"/>
      <w:divBdr>
        <w:top w:val="none" w:sz="0" w:space="0" w:color="auto"/>
        <w:left w:val="none" w:sz="0" w:space="0" w:color="auto"/>
        <w:bottom w:val="none" w:sz="0" w:space="0" w:color="auto"/>
        <w:right w:val="none" w:sz="0" w:space="0" w:color="auto"/>
      </w:divBdr>
    </w:div>
    <w:div w:id="904028636">
      <w:bodyDiv w:val="1"/>
      <w:marLeft w:val="0"/>
      <w:marRight w:val="0"/>
      <w:marTop w:val="0"/>
      <w:marBottom w:val="0"/>
      <w:divBdr>
        <w:top w:val="none" w:sz="0" w:space="0" w:color="auto"/>
        <w:left w:val="none" w:sz="0" w:space="0" w:color="auto"/>
        <w:bottom w:val="none" w:sz="0" w:space="0" w:color="auto"/>
        <w:right w:val="none" w:sz="0" w:space="0" w:color="auto"/>
      </w:divBdr>
    </w:div>
    <w:div w:id="1045102698">
      <w:bodyDiv w:val="1"/>
      <w:marLeft w:val="0"/>
      <w:marRight w:val="0"/>
      <w:marTop w:val="0"/>
      <w:marBottom w:val="0"/>
      <w:divBdr>
        <w:top w:val="none" w:sz="0" w:space="0" w:color="auto"/>
        <w:left w:val="none" w:sz="0" w:space="0" w:color="auto"/>
        <w:bottom w:val="none" w:sz="0" w:space="0" w:color="auto"/>
        <w:right w:val="none" w:sz="0" w:space="0" w:color="auto"/>
      </w:divBdr>
    </w:div>
    <w:div w:id="1243179948">
      <w:bodyDiv w:val="1"/>
      <w:marLeft w:val="0"/>
      <w:marRight w:val="0"/>
      <w:marTop w:val="0"/>
      <w:marBottom w:val="0"/>
      <w:divBdr>
        <w:top w:val="none" w:sz="0" w:space="0" w:color="auto"/>
        <w:left w:val="none" w:sz="0" w:space="0" w:color="auto"/>
        <w:bottom w:val="none" w:sz="0" w:space="0" w:color="auto"/>
        <w:right w:val="none" w:sz="0" w:space="0" w:color="auto"/>
      </w:divBdr>
    </w:div>
    <w:div w:id="1269242040">
      <w:bodyDiv w:val="1"/>
      <w:marLeft w:val="0"/>
      <w:marRight w:val="0"/>
      <w:marTop w:val="0"/>
      <w:marBottom w:val="0"/>
      <w:divBdr>
        <w:top w:val="none" w:sz="0" w:space="0" w:color="auto"/>
        <w:left w:val="none" w:sz="0" w:space="0" w:color="auto"/>
        <w:bottom w:val="none" w:sz="0" w:space="0" w:color="auto"/>
        <w:right w:val="none" w:sz="0" w:space="0" w:color="auto"/>
      </w:divBdr>
    </w:div>
    <w:div w:id="1450665410">
      <w:bodyDiv w:val="1"/>
      <w:marLeft w:val="0"/>
      <w:marRight w:val="0"/>
      <w:marTop w:val="0"/>
      <w:marBottom w:val="0"/>
      <w:divBdr>
        <w:top w:val="none" w:sz="0" w:space="0" w:color="auto"/>
        <w:left w:val="none" w:sz="0" w:space="0" w:color="auto"/>
        <w:bottom w:val="none" w:sz="0" w:space="0" w:color="auto"/>
        <w:right w:val="none" w:sz="0" w:space="0" w:color="auto"/>
      </w:divBdr>
    </w:div>
    <w:div w:id="1965649646">
      <w:bodyDiv w:val="1"/>
      <w:marLeft w:val="0"/>
      <w:marRight w:val="0"/>
      <w:marTop w:val="0"/>
      <w:marBottom w:val="0"/>
      <w:divBdr>
        <w:top w:val="none" w:sz="0" w:space="0" w:color="auto"/>
        <w:left w:val="none" w:sz="0" w:space="0" w:color="auto"/>
        <w:bottom w:val="none" w:sz="0" w:space="0" w:color="auto"/>
        <w:right w:val="none" w:sz="0" w:space="0" w:color="auto"/>
      </w:divBdr>
    </w:div>
    <w:div w:id="20769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2024-01-12T00:27:00Z</dcterms:created>
  <dcterms:modified xsi:type="dcterms:W3CDTF">2024-01-12T01:45:00Z</dcterms:modified>
</cp:coreProperties>
</file>