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93" w:rsidRPr="00C76193" w:rsidRDefault="00C76193" w:rsidP="00C76193">
      <w:pPr>
        <w:shd w:val="clear" w:color="auto" w:fill="FFFFFF"/>
        <w:spacing w:before="120" w:after="120" w:line="234" w:lineRule="atLeast"/>
        <w:rPr>
          <w:rFonts w:ascii="Times New Roman" w:eastAsia="Times New Roman" w:hAnsi="Times New Roman" w:cs="Times New Roman"/>
          <w:b/>
          <w:color w:val="000000"/>
          <w:sz w:val="26"/>
          <w:szCs w:val="26"/>
          <w:lang w:val="nl-NL" w:eastAsia="vi-VN"/>
        </w:rPr>
      </w:pPr>
      <w:r w:rsidRPr="00C76193">
        <w:rPr>
          <w:rFonts w:ascii="Times New Roman" w:eastAsia="Times New Roman" w:hAnsi="Times New Roman" w:cs="Times New Roman"/>
          <w:b/>
          <w:color w:val="000000"/>
          <w:sz w:val="26"/>
          <w:szCs w:val="26"/>
          <w:lang w:val="nl-NL" w:eastAsia="vi-VN"/>
        </w:rPr>
        <w:t>Phương pháp kế toán một số giao dịch kinh tế chủ yếu</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a) Khi mua chứng khoán kinh doanh, căn cứ vào chi phí thực tế mua (giá mua cộng (+) chi phí môi giới, giao dịch, chi phí thông tin, lệ phí, phí ngân hàng...),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121 - Chứng khoán kinh doanh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các TK 111, 112, 331</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141 - Tạm ứng</w:t>
      </w:r>
      <w:bookmarkStart w:id="0" w:name="_GoBack"/>
      <w:bookmarkEnd w:id="0"/>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244 - Cầm cố, thế chấp, ký quỹ, ký cược.</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b) Định kỳ thu lãi trái phiếu và các chứng khoán khác:</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nhận tiền lãi và sử dụng tiền lãi tiếp tục mua bổ sung trái phiếu, tín phiếu (không mang tiền về doanh nghiệp mà sử dụng tiền lãi mua ngay trái phiếu),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121 - Chứng khoán kinh doanh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nhận lãi bằng tiền,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 138....</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nhận lãi đầu tư bao gồm cả khoản lãi đầu tư dồn tích trước khi mua lại khoản đầu tư đó thì phải phân bổ số tiền lãi này. Chỉ ghi nhận là doanh thu hoạt động tài chính phần tiền lãi của các kỳ mà doanh nghiệp mua khoản đầu tư này; Khoản tiền lãi dồn tích trước khi doanh nghiệp mua lại khoản đầu tư được ghi giảm giá trị của chính khoản đầu tư đó,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 138... (tổng tiền lãi thu được)</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 (phần tiền lãi đầu tư dồn tích trước khi doanh nghiệp mua lại khoản đầu tư)</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 (phần tiền lãi của các kỳ sau khi doanh nghiệp mua khoản đầu tư).</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 Kế toán cổ tức, lợi nhuận được chia:</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nhận cổ tức cho giai đoạn sau ngày đầu tư,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138 - Phải thu khác (chưa thu được tiền ngay)</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nhận cổ tức của giai đoạn trước ngày đầu tư,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 138... (tổng tiền lãi thu được)</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 (phần tiền lãi đầu tư dồn tích trước khi doanh nghiệp mua lại khoản đầu tư).</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lastRenderedPageBreak/>
        <w:t>- Trường hợp nhận được phần cổ tức, lợi nhuận đã được dùng để đánh giá tăng vốn Nhà nước, doanh nghiệp cổ phần hóa không ghi nhận doanh thu hoạt động tài chính mà ghi giảm giá trị khoản đầu tư tài chính,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112, 138</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d) Khi chuyển nhượng chứng khoán kinh doanh, căn cứ vào giá bán chứng khoán:</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có lãi,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 131... (tổng giá thanh toán)</w:t>
      </w:r>
    </w:p>
    <w:p w:rsidR="00C76193" w:rsidRPr="00C76193" w:rsidRDefault="00C76193" w:rsidP="00C76193">
      <w:pPr>
        <w:shd w:val="clear" w:color="auto" w:fill="FFFFFF"/>
        <w:spacing w:after="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 (</w:t>
      </w:r>
      <w:r w:rsidRPr="00C76193">
        <w:rPr>
          <w:rFonts w:ascii="Times New Roman" w:eastAsia="Times New Roman" w:hAnsi="Times New Roman" w:cs="Times New Roman"/>
          <w:i/>
          <w:iCs/>
          <w:color w:val="000000"/>
          <w:sz w:val="26"/>
          <w:szCs w:val="26"/>
          <w:lang w:val="nl-NL" w:eastAsia="vi-VN"/>
        </w:rPr>
        <w:t>giá vốn</w:t>
      </w:r>
      <w:hyperlink r:id="rId4" w:anchor="_ftn6" w:history="1"/>
      <w:r w:rsidRPr="00C76193">
        <w:rPr>
          <w:rFonts w:ascii="Times New Roman" w:eastAsia="Times New Roman" w:hAnsi="Times New Roman" w:cs="Times New Roman"/>
          <w:color w:val="000000"/>
          <w:sz w:val="26"/>
          <w:szCs w:val="26"/>
          <w:lang w:val="nl-NL" w:eastAsia="vi-VN"/>
        </w:rPr>
        <w:t>)</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 (chênh lệch giữa giá bán lớn hơn giá vốn).</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bị lỗ,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 131 (tổng giá thanh toán)</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635 - Chi phí tài chính (chênh lệch giữa giá bán nhỏ hơn giá vốn)</w:t>
      </w:r>
    </w:p>
    <w:p w:rsidR="00C76193" w:rsidRPr="00C76193" w:rsidRDefault="00C76193" w:rsidP="00C76193">
      <w:pPr>
        <w:shd w:val="clear" w:color="auto" w:fill="FFFFFF"/>
        <w:spacing w:after="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 (</w:t>
      </w:r>
      <w:r w:rsidRPr="00C76193">
        <w:rPr>
          <w:rFonts w:ascii="Times New Roman" w:eastAsia="Times New Roman" w:hAnsi="Times New Roman" w:cs="Times New Roman"/>
          <w:i/>
          <w:iCs/>
          <w:color w:val="000000"/>
          <w:sz w:val="26"/>
          <w:szCs w:val="26"/>
          <w:lang w:val="nl-NL" w:eastAsia="vi-VN"/>
        </w:rPr>
        <w:t>giá vốn</w:t>
      </w:r>
      <w:hyperlink r:id="rId5" w:anchor="_ftn7" w:history="1"/>
      <w:r w:rsidRPr="00C76193">
        <w:rPr>
          <w:rFonts w:ascii="Times New Roman" w:eastAsia="Times New Roman" w:hAnsi="Times New Roman" w:cs="Times New Roman"/>
          <w:color w:val="000000"/>
          <w:sz w:val="26"/>
          <w:szCs w:val="26"/>
          <w:lang w:val="nl-NL" w:eastAsia="vi-VN"/>
        </w:rPr>
        <w:t>).</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Các chi phí về bán chứng khoán,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635 - Chi phí tài chính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các TK 111, 112, 331...</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đ) Thu hồi hoặc thanh toán chứng khoán kinh doanh đã đáo hạn,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các TK 111, 112, 131</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e) Trường hợp doanh nghiệp nhượng bán chứng khoán kinh doanh dưới hình thức hoán đổi cổ phiếu, doanh nghiệp phải xác định giá trị hợp lý của cổ phiếu nhận về tại thời điểm trao đổi. Phần chênh lệch (nếu có) giữa giá trị hợp lý của cổ phiếu nhận về và giá trị ghi sổ của cổ phiếu mang đi trao đổi được kế toán là doanh thu hoạt động tài chính (nếu lãi) hoặc chi phí tài chính (nếu lỗ).</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hoán đổi cổ phiếu có lãi,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121 - Chứng khoán kinh doanh (giá trị hợp lý của cổ phiếu nhận về).</w:t>
      </w:r>
    </w:p>
    <w:p w:rsidR="00C76193" w:rsidRPr="00C76193" w:rsidRDefault="00C76193" w:rsidP="00C76193">
      <w:pPr>
        <w:shd w:val="clear" w:color="auto" w:fill="FFFFFF"/>
        <w:spacing w:after="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 (</w:t>
      </w:r>
      <w:r w:rsidRPr="00C76193">
        <w:rPr>
          <w:rFonts w:ascii="Times New Roman" w:eastAsia="Times New Roman" w:hAnsi="Times New Roman" w:cs="Times New Roman"/>
          <w:i/>
          <w:iCs/>
          <w:color w:val="000000"/>
          <w:sz w:val="26"/>
          <w:szCs w:val="26"/>
          <w:lang w:val="nl-NL" w:eastAsia="vi-VN"/>
        </w:rPr>
        <w:t>giá vốn</w:t>
      </w:r>
      <w:hyperlink r:id="rId6" w:anchor="_ftn8" w:history="1"/>
      <w:r w:rsidRPr="00C76193">
        <w:rPr>
          <w:rFonts w:ascii="Times New Roman" w:eastAsia="Times New Roman" w:hAnsi="Times New Roman" w:cs="Times New Roman"/>
          <w:color w:val="000000"/>
          <w:sz w:val="26"/>
          <w:szCs w:val="26"/>
          <w:lang w:val="nl-NL" w:eastAsia="vi-VN"/>
        </w:rPr>
        <w:t>)</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515 - Doanh thu hoạt động tài chính (phần chênh lệch giữa giá trị hợp lý của cổ phiếu nhận về cao hơn giá trị ghi sổ của cổ phiếu mang đi trao đổi)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hoán đổi cổ phiếu bị lỗ,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121 - Chứng khoán kinh doanh (giá trị hợp lý của cổ phiếu nhận về</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635 - Chi phí tài chính (phần chênh lệch giữa giá trị hợp lý của cổ phiếu nhận về thấp hơn giá trị ghi sổ của cổ phiếu mang đi trao đổi)</w:t>
      </w:r>
    </w:p>
    <w:p w:rsidR="00C76193" w:rsidRPr="00C76193" w:rsidRDefault="00C76193" w:rsidP="00C76193">
      <w:pPr>
        <w:shd w:val="clear" w:color="auto" w:fill="FFFFFF"/>
        <w:spacing w:after="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lastRenderedPageBreak/>
        <w:t>Có TK 121 - Chứng khoán kinh doanh (</w:t>
      </w:r>
      <w:r w:rsidRPr="00C76193">
        <w:rPr>
          <w:rFonts w:ascii="Times New Roman" w:eastAsia="Times New Roman" w:hAnsi="Times New Roman" w:cs="Times New Roman"/>
          <w:i/>
          <w:iCs/>
          <w:color w:val="000000"/>
          <w:sz w:val="26"/>
          <w:szCs w:val="26"/>
          <w:lang w:val="nl-NL" w:eastAsia="vi-VN"/>
        </w:rPr>
        <w:t>giá vốn</w:t>
      </w:r>
      <w:hyperlink r:id="rId7" w:anchor="_ftn9" w:history="1"/>
      <w:r w:rsidRPr="00C76193">
        <w:rPr>
          <w:rFonts w:ascii="Times New Roman" w:eastAsia="Times New Roman" w:hAnsi="Times New Roman" w:cs="Times New Roman"/>
          <w:color w:val="000000"/>
          <w:sz w:val="26"/>
          <w:szCs w:val="26"/>
          <w:lang w:val="nl-NL" w:eastAsia="vi-VN"/>
        </w:rPr>
        <w:t>).</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g) Đánh giá lại số dư các loại chứng khoán thỏa mãn định nghĩa các khoản mục tiền tệ có gốc ngoại tệ (như trái phiếu, thương phiếu bằng ngoại tệ…).</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lãi,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121 - Chứng khoán kinh doanh (1212, 1218)</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413 - Chênh lệch tỷ giá hối đoái.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 Trường hợp lỗ, ghi: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Nợ TK 413 - Chênh lệch tỷ giá hối đoái</w:t>
      </w:r>
    </w:p>
    <w:p w:rsidR="00C76193" w:rsidRPr="00C76193" w:rsidRDefault="00C76193" w:rsidP="00C76193">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C76193">
        <w:rPr>
          <w:rFonts w:ascii="Times New Roman" w:eastAsia="Times New Roman" w:hAnsi="Times New Roman" w:cs="Times New Roman"/>
          <w:color w:val="000000"/>
          <w:sz w:val="26"/>
          <w:szCs w:val="26"/>
          <w:lang w:val="nl-NL" w:eastAsia="vi-VN"/>
        </w:rPr>
        <w:t>Có TK 121 - Chứng khoán kinh doanh (1212, 1218).</w:t>
      </w:r>
    </w:p>
    <w:p w:rsidR="008F73E8" w:rsidRPr="00C76193" w:rsidRDefault="008F73E8">
      <w:pPr>
        <w:rPr>
          <w:rFonts w:ascii="Times New Roman" w:hAnsi="Times New Roman" w:cs="Times New Roman"/>
          <w:sz w:val="26"/>
          <w:szCs w:val="26"/>
        </w:rPr>
      </w:pPr>
    </w:p>
    <w:sectPr w:rsidR="008F73E8" w:rsidRPr="00C761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93"/>
    <w:rsid w:val="000238F1"/>
    <w:rsid w:val="008F73E8"/>
    <w:rsid w:val="00C761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85A4F-AB8C-4848-969B-FF516815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19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9095">
      <w:bodyDiv w:val="1"/>
      <w:marLeft w:val="0"/>
      <w:marRight w:val="0"/>
      <w:marTop w:val="0"/>
      <w:marBottom w:val="0"/>
      <w:divBdr>
        <w:top w:val="none" w:sz="0" w:space="0" w:color="auto"/>
        <w:left w:val="none" w:sz="0" w:space="0" w:color="auto"/>
        <w:bottom w:val="none" w:sz="0" w:space="0" w:color="auto"/>
        <w:right w:val="none" w:sz="0" w:space="0" w:color="auto"/>
      </w:divBdr>
    </w:div>
    <w:div w:id="18072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oanh-nghiep/Van-ban-hop-nhat-04-VBHN-BTC-2020-Thong-tu-huong-dan-Che-do-ke-toan-doanh-nghiep-43625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Van-ban-hop-nhat-04-VBHN-BTC-2020-Thong-tu-huong-dan-Che-do-ke-toan-doanh-nghiep-436250.aspx" TargetMode="External"/><Relationship Id="rId5" Type="http://schemas.openxmlformats.org/officeDocument/2006/relationships/hyperlink" Target="https://thuvienphapluat.vn/van-ban/Doanh-nghiep/Van-ban-hop-nhat-04-VBHN-BTC-2020-Thong-tu-huong-dan-Che-do-ke-toan-doanh-nghiep-436250.aspx" TargetMode="External"/><Relationship Id="rId4" Type="http://schemas.openxmlformats.org/officeDocument/2006/relationships/hyperlink" Target="https://thuvienphapluat.vn/van-ban/Doanh-nghiep/Van-ban-hop-nhat-04-VBHN-BTC-2020-Thong-tu-huong-dan-Che-do-ke-toan-doanh-nghiep-43625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2024-02-03T09:47:00Z</dcterms:created>
  <dcterms:modified xsi:type="dcterms:W3CDTF">2024-02-03T09:47:00Z</dcterms:modified>
</cp:coreProperties>
</file>