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66D">
        <w:rPr>
          <w:rFonts w:ascii="Times New Roman" w:eastAsia="Times New Roman" w:hAnsi="Times New Roman" w:cs="Times New Roman"/>
          <w:color w:val="000000"/>
          <w:sz w:val="26"/>
          <w:szCs w:val="26"/>
        </w:rPr>
        <w:t>Ví dụ 71: Công ty Q của Việt Nam có một cơ sở thường trú tại U-dơ-bê-ki-xtăng. Trong năm 2010, cơ sở thường trú này được xác định có khoản thu nhập là 100.000 đô la Mỹ. Theo quy định tại Luật thuế U-dơ-bê-ki-xtăng, khoản thu nhập này được miễn thuế như một biện pháp ưu đãi đặc biệt (trường hợp không được miễn, sẽ phải nộp thuế với mức thuế suất 33%). Công ty Q có nghĩa vụ nộp thuế tại Việt Nam theo mức thuế suất hiện hành (25%). Theo quy định tại Hiệp định giữa Việt Nam và U-dơ-bê-ki-xtăng (Khoản 5, Điều 24: Xoá bỏ việc đánh thuế hai lần), Việt Nam có nghĩa vụ khấu trừ số thuế khoán (tức là số thuế đáng ra đã phải nộp nhưng được miễn tại U-dơ-bê-ki-xtăng). Trong trường hợp này, việc kê khai nộp thuế và khấu trừ số thuế khoán của Công ty Q ở Việt Nam như sau:</w:t>
      </w: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66D">
        <w:rPr>
          <w:rFonts w:ascii="Times New Roman" w:eastAsia="Times New Roman" w:hAnsi="Times New Roman" w:cs="Times New Roman"/>
          <w:color w:val="000000"/>
          <w:sz w:val="26"/>
          <w:szCs w:val="26"/>
        </w:rPr>
        <w:t>- Xác định số thuế khoán tại U-dơ-bê-ki-xtăng (theo Luật thuế U-dơ-bê-ki-xtăng):</w:t>
      </w: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66D">
        <w:rPr>
          <w:rFonts w:ascii="Times New Roman" w:eastAsia="Times New Roman" w:hAnsi="Times New Roman" w:cs="Times New Roman"/>
          <w:color w:val="000000"/>
          <w:sz w:val="26"/>
          <w:szCs w:val="26"/>
        </w:rPr>
        <w:t>100.000 đô la Mỹ x 33% = 33.000 đô la Mỹ</w:t>
      </w: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66D">
        <w:rPr>
          <w:rFonts w:ascii="Times New Roman" w:eastAsia="Times New Roman" w:hAnsi="Times New Roman" w:cs="Times New Roman"/>
          <w:color w:val="000000"/>
          <w:sz w:val="26"/>
          <w:szCs w:val="26"/>
        </w:rPr>
        <w:t>- Xác định số thuế phải nộp tại Việt Nam (theo quy định pháp luật hiện hành về thuế ở Việt Nam):</w:t>
      </w: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66D">
        <w:rPr>
          <w:rFonts w:ascii="Times New Roman" w:eastAsia="Times New Roman" w:hAnsi="Times New Roman" w:cs="Times New Roman"/>
          <w:color w:val="000000"/>
          <w:sz w:val="26"/>
          <w:szCs w:val="26"/>
        </w:rPr>
        <w:t>100.000 đô la Mỹ x 25% = 25.000 đô la Mỹ</w:t>
      </w: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66D" w:rsidRPr="002C366D" w:rsidRDefault="002C366D" w:rsidP="002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66D">
        <w:rPr>
          <w:rFonts w:ascii="Times New Roman" w:eastAsia="Times New Roman" w:hAnsi="Times New Roman" w:cs="Times New Roman"/>
          <w:color w:val="000000"/>
          <w:sz w:val="26"/>
          <w:szCs w:val="26"/>
        </w:rPr>
        <w:t>Như vậy, Công ty Q trên thực tế không phải nộp thuế nhưng được coi như đã nộp 25.000 đô la Mỹ (trong tổng số 33.000 đô la Mỹ tính theo luật thuế U-dơ-bê-ki-xtăng trước khi được hưởng ưu đãi) và được trừ số thuế này vào thuế phải nộp tại Việt Nam (tức là không phải nộp thuế tại Việt Nam).</w:t>
      </w:r>
    </w:p>
    <w:p w:rsidR="005B6519" w:rsidRDefault="002C366D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6D"/>
    <w:rsid w:val="00233F69"/>
    <w:rsid w:val="002C366D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8B0274-91DC-4B4C-A119-1460E96F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2024-05-21T20:40:00Z</dcterms:created>
  <dcterms:modified xsi:type="dcterms:W3CDTF">2024-05-21T20:40:00Z</dcterms:modified>
</cp:coreProperties>
</file>