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4185" w:rsidRPr="00324185" w:rsidRDefault="00324185" w:rsidP="0032418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3"/>
      <w:r w:rsidRPr="00324185">
        <w:rPr>
          <w:rFonts w:ascii="Arial" w:eastAsia="Times New Roman" w:hAnsi="Arial" w:cs="Arial"/>
          <w:b/>
          <w:bCs/>
          <w:color w:val="000000"/>
          <w:kern w:val="0"/>
          <w:szCs w:val="24"/>
          <w14:ligatures w14:val="none"/>
        </w:rPr>
        <w:t>PHỤ LỤC SỐ 03</w:t>
      </w:r>
      <w:bookmarkEnd w:id="0"/>
    </w:p>
    <w:p w:rsidR="00324185" w:rsidRPr="00324185" w:rsidRDefault="00324185" w:rsidP="00324185">
      <w:pPr>
        <w:spacing w:after="0" w:line="234" w:lineRule="atLeast"/>
        <w:jc w:val="center"/>
        <w:rPr>
          <w:rFonts w:ascii="Arial" w:eastAsia="Times New Roman" w:hAnsi="Arial" w:cs="Arial"/>
          <w:color w:val="000000"/>
          <w:kern w:val="0"/>
          <w:sz w:val="18"/>
          <w:szCs w:val="18"/>
          <w14:ligatures w14:val="none"/>
        </w:rPr>
      </w:pPr>
      <w:bookmarkStart w:id="1" w:name="chuong_pl_3_name"/>
      <w:r w:rsidRPr="00324185">
        <w:rPr>
          <w:rFonts w:ascii="Arial" w:eastAsia="Times New Roman" w:hAnsi="Arial" w:cs="Arial"/>
          <w:color w:val="000000"/>
          <w:kern w:val="0"/>
          <w:sz w:val="18"/>
          <w:szCs w:val="18"/>
          <w14:ligatures w14:val="none"/>
        </w:rPr>
        <w:t>MẪU BÁO CÁO TÌNH HÌNH HOẠT ĐỘNG VÀ TÌNH HÌNH TÀI CHÍNH CỦA QUỸ BẢO TOÀN</w:t>
      </w:r>
      <w:bookmarkEnd w:id="1"/>
      <w:r w:rsidRPr="00324185">
        <w:rPr>
          <w:rFonts w:ascii="Arial" w:eastAsia="Times New Roman" w:hAnsi="Arial" w:cs="Arial"/>
          <w:color w:val="000000"/>
          <w:kern w:val="0"/>
          <w:sz w:val="18"/>
          <w:szCs w:val="18"/>
          <w14:ligatures w14:val="none"/>
        </w:rPr>
        <w:br/>
      </w:r>
      <w:r w:rsidRPr="00324185">
        <w:rPr>
          <w:rFonts w:ascii="Arial" w:eastAsia="Times New Roman" w:hAnsi="Arial" w:cs="Arial"/>
          <w:i/>
          <w:iCs/>
          <w:color w:val="000000"/>
          <w:kern w:val="0"/>
          <w:sz w:val="18"/>
          <w:szCs w:val="18"/>
          <w14:ligatures w14:val="none"/>
        </w:rPr>
        <w:t>(Ban hành kèm theo Thông tư số 27/2024/TT-NHNN ngày 28/6/2024 của Thống đốc Ngân hàng Nhà nước)</w:t>
      </w:r>
    </w:p>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b/>
          <w:bCs/>
          <w:color w:val="000000"/>
          <w:kern w:val="0"/>
          <w:sz w:val="18"/>
          <w:szCs w:val="18"/>
          <w14:ligatures w14:val="none"/>
        </w:rPr>
        <w:t>BÁO CÁO TÌNH HÌNH HOẠT ĐỘNG VÀ TÌNH HÌNH TÀI CHÍNH CỦA QUỸ BẢO TOÀN</w:t>
      </w:r>
    </w:p>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i/>
          <w:iCs/>
          <w:color w:val="000000"/>
          <w:kern w:val="0"/>
          <w:sz w:val="18"/>
          <w:szCs w:val="18"/>
          <w14:ligatures w14:val="none"/>
        </w:rPr>
        <w:t>(6 tháng, năm …/ Năm ...)</w:t>
      </w:r>
    </w:p>
    <w:p w:rsidR="00324185" w:rsidRPr="00324185" w:rsidRDefault="00324185" w:rsidP="00324185">
      <w:pPr>
        <w:spacing w:before="120" w:after="120" w:line="234" w:lineRule="atLeast"/>
        <w:jc w:val="right"/>
        <w:rPr>
          <w:rFonts w:ascii="Arial" w:eastAsia="Times New Roman" w:hAnsi="Arial" w:cs="Arial"/>
          <w:color w:val="000000"/>
          <w:kern w:val="0"/>
          <w:sz w:val="18"/>
          <w:szCs w:val="18"/>
          <w14:ligatures w14:val="none"/>
        </w:rPr>
      </w:pPr>
      <w:r w:rsidRPr="00324185">
        <w:rPr>
          <w:rFonts w:ascii="Arial" w:eastAsia="Times New Roman" w:hAnsi="Arial" w:cs="Arial"/>
          <w:i/>
          <w:iCs/>
          <w:color w:val="000000"/>
          <w:kern w:val="0"/>
          <w:sz w:val="18"/>
          <w:szCs w:val="18"/>
          <w14:ligatures w14:val="none"/>
        </w:rPr>
        <w:t>Đơn vị: triệu đồng,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
        <w:gridCol w:w="306"/>
        <w:gridCol w:w="311"/>
        <w:gridCol w:w="271"/>
        <w:gridCol w:w="271"/>
        <w:gridCol w:w="271"/>
        <w:gridCol w:w="271"/>
        <w:gridCol w:w="271"/>
        <w:gridCol w:w="271"/>
        <w:gridCol w:w="286"/>
        <w:gridCol w:w="286"/>
        <w:gridCol w:w="286"/>
        <w:gridCol w:w="286"/>
        <w:gridCol w:w="286"/>
        <w:gridCol w:w="286"/>
        <w:gridCol w:w="286"/>
        <w:gridCol w:w="286"/>
        <w:gridCol w:w="286"/>
        <w:gridCol w:w="312"/>
        <w:gridCol w:w="299"/>
        <w:gridCol w:w="286"/>
        <w:gridCol w:w="286"/>
        <w:gridCol w:w="312"/>
        <w:gridCol w:w="296"/>
        <w:gridCol w:w="286"/>
        <w:gridCol w:w="299"/>
        <w:gridCol w:w="299"/>
        <w:gridCol w:w="315"/>
        <w:gridCol w:w="296"/>
        <w:gridCol w:w="319"/>
        <w:gridCol w:w="319"/>
      </w:tblGrid>
      <w:tr w:rsidR="00324185" w:rsidRPr="00324185" w:rsidTr="00324185">
        <w:trPr>
          <w:trHeight w:val="20"/>
          <w:tblCellSpacing w:w="0" w:type="dxa"/>
        </w:trPr>
        <w:tc>
          <w:tcPr>
            <w:tcW w:w="100" w:type="pct"/>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STT</w:t>
            </w:r>
          </w:p>
        </w:tc>
        <w:tc>
          <w:tcPr>
            <w:tcW w:w="1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Tên chỉ tiêu</w:t>
            </w:r>
          </w:p>
        </w:tc>
        <w:tc>
          <w:tcPr>
            <w:tcW w:w="1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Số lượng thành viên Ban quản lý Quỹ bảo toàn</w:t>
            </w:r>
          </w:p>
        </w:tc>
        <w:tc>
          <w:tcPr>
            <w:tcW w:w="550"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Tình hình nộp phí Quỹ bảo toàn</w:t>
            </w:r>
          </w:p>
        </w:tc>
        <w:tc>
          <w:tcPr>
            <w:tcW w:w="1300" w:type="pct"/>
            <w:gridSpan w:val="8"/>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Cho vay hỗ trợ các quỹ tín dụng nhân dân khi gặp khó khăn về tài chính, khó khăn chi trả để có thể khắc phục trở lại hoạt động bình thường</w:t>
            </w:r>
          </w:p>
        </w:tc>
        <w:tc>
          <w:tcPr>
            <w:tcW w:w="700" w:type="pct"/>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Sử dụng nguồn vốn của Quỹ bảo toàn</w:t>
            </w:r>
          </w:p>
        </w:tc>
        <w:tc>
          <w:tcPr>
            <w:tcW w:w="1850" w:type="pct"/>
            <w:gridSpan w:val="1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Thu, chi tài chính phục vụ cho hoạt động của Quỹ bảo toàn</w:t>
            </w:r>
          </w:p>
        </w:tc>
      </w:tr>
      <w:tr w:rsidR="00324185" w:rsidRPr="00324185" w:rsidTr="00324185">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24185" w:rsidRPr="00324185" w:rsidRDefault="00324185" w:rsidP="00324185">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4185" w:rsidRPr="00324185" w:rsidRDefault="00324185" w:rsidP="00324185">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4185" w:rsidRPr="00324185" w:rsidRDefault="00324185" w:rsidP="00324185">
            <w:pPr>
              <w:spacing w:after="0" w:line="240" w:lineRule="auto"/>
              <w:rPr>
                <w:rFonts w:ascii="Arial" w:eastAsia="Times New Roman" w:hAnsi="Arial" w:cs="Arial"/>
                <w:color w:val="000000"/>
                <w:kern w:val="0"/>
                <w:sz w:val="18"/>
                <w:szCs w:val="18"/>
                <w14:ligatures w14:val="none"/>
              </w:rPr>
            </w:pPr>
          </w:p>
        </w:tc>
        <w:tc>
          <w:tcPr>
            <w:tcW w:w="150" w:type="pct"/>
            <w:vMerge w:val="restart"/>
            <w:tcBorders>
              <w:top w:val="nil"/>
              <w:left w:val="nil"/>
              <w:bottom w:val="single" w:sz="8" w:space="0" w:color="auto"/>
              <w:right w:val="single" w:sz="8" w:space="0" w:color="auto"/>
            </w:tcBorders>
            <w:shd w:val="clear" w:color="auto" w:fill="FFFFFF"/>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Tổng số phí đã thu của Quỹ bảo toàn trong kỳ</w:t>
            </w:r>
          </w:p>
        </w:tc>
        <w:tc>
          <w:tcPr>
            <w:tcW w:w="200" w:type="pct"/>
            <w:vMerge w:val="restart"/>
            <w:tcBorders>
              <w:top w:val="nil"/>
              <w:left w:val="nil"/>
              <w:bottom w:val="single" w:sz="8" w:space="0" w:color="auto"/>
              <w:right w:val="single" w:sz="8" w:space="0" w:color="auto"/>
            </w:tcBorders>
            <w:shd w:val="clear" w:color="auto" w:fill="FFFFFF"/>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Số QTDND đã tham gia đóng phí Quỹ bảo toàn</w:t>
            </w:r>
          </w:p>
        </w:tc>
        <w:tc>
          <w:tcPr>
            <w:tcW w:w="200" w:type="pct"/>
            <w:vMerge w:val="restart"/>
            <w:tcBorders>
              <w:top w:val="nil"/>
              <w:left w:val="nil"/>
              <w:bottom w:val="single" w:sz="8" w:space="0" w:color="auto"/>
              <w:right w:val="single" w:sz="8" w:space="0" w:color="auto"/>
            </w:tcBorders>
            <w:shd w:val="clear" w:color="auto" w:fill="FFFFFF"/>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Số QTDND chưa tham gia đóng Quỹ bảo toàn</w:t>
            </w:r>
          </w:p>
        </w:tc>
        <w:tc>
          <w:tcPr>
            <w:tcW w:w="0" w:type="auto"/>
            <w:gridSpan w:val="8"/>
            <w:vMerge/>
            <w:tcBorders>
              <w:top w:val="nil"/>
              <w:left w:val="nil"/>
              <w:bottom w:val="single" w:sz="8" w:space="0" w:color="auto"/>
              <w:right w:val="single" w:sz="8" w:space="0" w:color="auto"/>
            </w:tcBorders>
            <w:shd w:val="clear" w:color="auto" w:fill="FFFFFF"/>
            <w:vAlign w:val="center"/>
            <w:hideMark/>
          </w:tcPr>
          <w:p w:rsidR="00324185" w:rsidRPr="00324185" w:rsidRDefault="00324185" w:rsidP="00324185">
            <w:pPr>
              <w:spacing w:after="0" w:line="240" w:lineRule="auto"/>
              <w:rPr>
                <w:rFonts w:ascii="Arial" w:eastAsia="Times New Roman" w:hAnsi="Arial" w:cs="Arial"/>
                <w:color w:val="000000"/>
                <w:kern w:val="0"/>
                <w:sz w:val="18"/>
                <w:szCs w:val="18"/>
                <w14:ligatures w14:val="none"/>
              </w:rPr>
            </w:pPr>
          </w:p>
        </w:tc>
        <w:tc>
          <w:tcPr>
            <w:tcW w:w="2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Gửi tại ngân hàng hợp tác xã</w:t>
            </w:r>
          </w:p>
        </w:tc>
        <w:tc>
          <w:tcPr>
            <w:tcW w:w="2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Gửi tại ngân hàng thương mại</w:t>
            </w:r>
          </w:p>
        </w:tc>
        <w:tc>
          <w:tcPr>
            <w:tcW w:w="1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xml:space="preserve">Mua trái phiếu Chính phủ, tín phiếu Kho bạc, tín phiếu Ngân hàng Nhà nước </w:t>
            </w:r>
            <w:r w:rsidRPr="00324185">
              <w:rPr>
                <w:rFonts w:ascii="Arial" w:eastAsia="Times New Roman" w:hAnsi="Arial" w:cs="Arial"/>
                <w:color w:val="000000"/>
                <w:kern w:val="0"/>
                <w:sz w:val="8"/>
                <w:szCs w:val="8"/>
                <w14:ligatures w14:val="none"/>
              </w:rPr>
              <w:lastRenderedPageBreak/>
              <w:t>Việt Nam</w:t>
            </w:r>
          </w:p>
        </w:tc>
        <w:tc>
          <w:tcPr>
            <w:tcW w:w="0" w:type="auto"/>
            <w:gridSpan w:val="12"/>
            <w:vMerge/>
            <w:tcBorders>
              <w:top w:val="nil"/>
              <w:left w:val="nil"/>
              <w:bottom w:val="single" w:sz="8" w:space="0" w:color="auto"/>
              <w:right w:val="single" w:sz="8" w:space="0" w:color="auto"/>
            </w:tcBorders>
            <w:shd w:val="clear" w:color="auto" w:fill="FFFFFF"/>
            <w:vAlign w:val="center"/>
            <w:hideMark/>
          </w:tcPr>
          <w:p w:rsidR="00324185" w:rsidRPr="00324185" w:rsidRDefault="00324185" w:rsidP="00324185">
            <w:pPr>
              <w:spacing w:after="0" w:line="240" w:lineRule="auto"/>
              <w:rPr>
                <w:rFonts w:ascii="Arial" w:eastAsia="Times New Roman" w:hAnsi="Arial" w:cs="Arial"/>
                <w:color w:val="000000"/>
                <w:kern w:val="0"/>
                <w:sz w:val="18"/>
                <w:szCs w:val="18"/>
                <w14:ligatures w14:val="none"/>
              </w:rPr>
            </w:pPr>
          </w:p>
        </w:tc>
      </w:tr>
      <w:tr w:rsidR="00324185" w:rsidRPr="00324185" w:rsidTr="00324185">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24185" w:rsidRPr="00324185" w:rsidRDefault="00324185" w:rsidP="00324185">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4185" w:rsidRPr="00324185" w:rsidRDefault="00324185" w:rsidP="00324185">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24185" w:rsidRPr="00324185" w:rsidRDefault="00324185" w:rsidP="00324185">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324185" w:rsidRPr="00324185" w:rsidRDefault="00324185" w:rsidP="00324185">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324185" w:rsidRPr="00324185" w:rsidRDefault="00324185" w:rsidP="00324185">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324185" w:rsidRPr="00324185" w:rsidRDefault="00324185" w:rsidP="00324185">
            <w:pPr>
              <w:spacing w:after="0" w:line="240" w:lineRule="auto"/>
              <w:rPr>
                <w:rFonts w:ascii="Arial" w:eastAsia="Times New Roman" w:hAnsi="Arial" w:cs="Arial"/>
                <w:color w:val="000000"/>
                <w:kern w:val="0"/>
                <w:sz w:val="18"/>
                <w:szCs w:val="18"/>
                <w14:ligatures w14:val="none"/>
              </w:rPr>
            </w:pPr>
          </w:p>
        </w:tc>
        <w:tc>
          <w:tcPr>
            <w:tcW w:w="150" w:type="pct"/>
            <w:tcBorders>
              <w:top w:val="nil"/>
              <w:left w:val="nil"/>
              <w:bottom w:val="single" w:sz="8" w:space="0" w:color="auto"/>
              <w:right w:val="single" w:sz="8" w:space="0" w:color="auto"/>
            </w:tcBorders>
            <w:shd w:val="clear" w:color="auto" w:fill="FFFFFF"/>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Số QTDND đề nghị được vay vốn</w:t>
            </w:r>
          </w:p>
        </w:tc>
        <w:tc>
          <w:tcPr>
            <w:tcW w:w="200" w:type="pct"/>
            <w:tcBorders>
              <w:top w:val="nil"/>
              <w:left w:val="nil"/>
              <w:bottom w:val="single" w:sz="8" w:space="0" w:color="auto"/>
              <w:right w:val="single" w:sz="8" w:space="0" w:color="auto"/>
            </w:tcBorders>
            <w:shd w:val="clear" w:color="auto" w:fill="FFFFFF"/>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Số QTDND đã được xét cho vay</w:t>
            </w:r>
          </w:p>
        </w:tc>
        <w:tc>
          <w:tcPr>
            <w:tcW w:w="100" w:type="pct"/>
            <w:tcBorders>
              <w:top w:val="nil"/>
              <w:left w:val="nil"/>
              <w:bottom w:val="single" w:sz="8" w:space="0" w:color="auto"/>
              <w:right w:val="single" w:sz="8" w:space="0" w:color="auto"/>
            </w:tcBorders>
            <w:shd w:val="clear" w:color="auto" w:fill="FFFFFF"/>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Mức cho vay hỗ trợ</w:t>
            </w:r>
          </w:p>
        </w:tc>
        <w:tc>
          <w:tcPr>
            <w:tcW w:w="100" w:type="pct"/>
            <w:tcBorders>
              <w:top w:val="nil"/>
              <w:left w:val="nil"/>
              <w:bottom w:val="single" w:sz="8" w:space="0" w:color="auto"/>
              <w:right w:val="single" w:sz="8" w:space="0" w:color="auto"/>
            </w:tcBorders>
            <w:shd w:val="clear" w:color="auto" w:fill="FFFFFF"/>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Thời hạn cho vay hỗ trợ</w:t>
            </w:r>
          </w:p>
        </w:tc>
        <w:tc>
          <w:tcPr>
            <w:tcW w:w="100" w:type="pct"/>
            <w:tcBorders>
              <w:top w:val="nil"/>
              <w:left w:val="nil"/>
              <w:bottom w:val="single" w:sz="8" w:space="0" w:color="auto"/>
              <w:right w:val="single" w:sz="8" w:space="0" w:color="auto"/>
            </w:tcBorders>
            <w:shd w:val="clear" w:color="auto" w:fill="FFFFFF"/>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Lãi suất cho vay hỗ trợ</w:t>
            </w:r>
          </w:p>
        </w:tc>
        <w:tc>
          <w:tcPr>
            <w:tcW w:w="150" w:type="pct"/>
            <w:tcBorders>
              <w:top w:val="nil"/>
              <w:left w:val="nil"/>
              <w:bottom w:val="single" w:sz="8" w:space="0" w:color="auto"/>
              <w:right w:val="single" w:sz="8" w:space="0" w:color="auto"/>
            </w:tcBorders>
            <w:shd w:val="clear" w:color="auto" w:fill="FFFFFF"/>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Các biện pháp theo dõi, chấn chỉnh, củng cố hoạt động của quỹ tín dụng nhân dân được vay hỗ trợ</w:t>
            </w:r>
          </w:p>
        </w:tc>
        <w:tc>
          <w:tcPr>
            <w:tcW w:w="150" w:type="pct"/>
            <w:tcBorders>
              <w:top w:val="nil"/>
              <w:left w:val="nil"/>
              <w:bottom w:val="single" w:sz="8" w:space="0" w:color="auto"/>
              <w:right w:val="single" w:sz="8" w:space="0" w:color="auto"/>
            </w:tcBorders>
            <w:shd w:val="clear" w:color="auto" w:fill="FFFFFF"/>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Việc thực hiện cơ chế kiểm tra, giám sát việc sử dụng vốn vay của quỹ tín dụng nhân dân được hỗ trợ</w:t>
            </w:r>
          </w:p>
        </w:tc>
        <w:tc>
          <w:tcPr>
            <w:tcW w:w="150" w:type="pct"/>
            <w:tcBorders>
              <w:top w:val="nil"/>
              <w:left w:val="nil"/>
              <w:bottom w:val="single" w:sz="8" w:space="0" w:color="auto"/>
              <w:right w:val="single" w:sz="8" w:space="0" w:color="auto"/>
            </w:tcBorders>
            <w:shd w:val="clear" w:color="auto" w:fill="FFFFFF"/>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Xử lý rủi ro đối với các khoản cho vay hỗ trợ không thu hồi được vốn</w:t>
            </w:r>
          </w:p>
        </w:tc>
        <w:tc>
          <w:tcPr>
            <w:tcW w:w="100" w:type="pct"/>
            <w:tcBorders>
              <w:top w:val="nil"/>
              <w:left w:val="nil"/>
              <w:bottom w:val="single" w:sz="8" w:space="0" w:color="auto"/>
              <w:right w:val="single" w:sz="8" w:space="0" w:color="auto"/>
            </w:tcBorders>
            <w:shd w:val="clear" w:color="auto" w:fill="FFFFFF"/>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Số tiền</w:t>
            </w:r>
          </w:p>
        </w:tc>
        <w:tc>
          <w:tcPr>
            <w:tcW w:w="100" w:type="pct"/>
            <w:tcBorders>
              <w:top w:val="nil"/>
              <w:left w:val="nil"/>
              <w:bottom w:val="single" w:sz="8" w:space="0" w:color="auto"/>
              <w:right w:val="single" w:sz="8" w:space="0" w:color="auto"/>
            </w:tcBorders>
            <w:shd w:val="clear" w:color="auto" w:fill="FFFFFF"/>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Lãi suất tiền gửi</w:t>
            </w:r>
          </w:p>
        </w:tc>
        <w:tc>
          <w:tcPr>
            <w:tcW w:w="100" w:type="pct"/>
            <w:tcBorders>
              <w:top w:val="nil"/>
              <w:left w:val="nil"/>
              <w:bottom w:val="single" w:sz="8" w:space="0" w:color="auto"/>
              <w:right w:val="single" w:sz="8" w:space="0" w:color="auto"/>
            </w:tcBorders>
            <w:shd w:val="clear" w:color="auto" w:fill="FFFFFF"/>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Số tiền</w:t>
            </w:r>
          </w:p>
        </w:tc>
        <w:tc>
          <w:tcPr>
            <w:tcW w:w="100" w:type="pct"/>
            <w:tcBorders>
              <w:top w:val="nil"/>
              <w:left w:val="nil"/>
              <w:bottom w:val="single" w:sz="8" w:space="0" w:color="auto"/>
              <w:right w:val="single" w:sz="8" w:space="0" w:color="auto"/>
            </w:tcBorders>
            <w:shd w:val="clear" w:color="auto" w:fill="FFFFFF"/>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Lãi suất tiền gửi</w:t>
            </w:r>
          </w:p>
        </w:tc>
        <w:tc>
          <w:tcPr>
            <w:tcW w:w="0" w:type="auto"/>
            <w:vMerge/>
            <w:tcBorders>
              <w:top w:val="nil"/>
              <w:left w:val="nil"/>
              <w:bottom w:val="single" w:sz="8" w:space="0" w:color="auto"/>
              <w:right w:val="single" w:sz="8" w:space="0" w:color="auto"/>
            </w:tcBorders>
            <w:shd w:val="clear" w:color="auto" w:fill="FFFFFF"/>
            <w:vAlign w:val="center"/>
            <w:hideMark/>
          </w:tcPr>
          <w:p w:rsidR="00324185" w:rsidRPr="00324185" w:rsidRDefault="00324185" w:rsidP="00324185">
            <w:pPr>
              <w:spacing w:after="0" w:line="240" w:lineRule="auto"/>
              <w:rPr>
                <w:rFonts w:ascii="Arial" w:eastAsia="Times New Roman" w:hAnsi="Arial" w:cs="Arial"/>
                <w:color w:val="000000"/>
                <w:kern w:val="0"/>
                <w:sz w:val="18"/>
                <w:szCs w:val="18"/>
                <w14:ligatures w14:val="none"/>
              </w:rPr>
            </w:pPr>
          </w:p>
        </w:tc>
        <w:tc>
          <w:tcPr>
            <w:tcW w:w="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Thu nhập</w:t>
            </w:r>
          </w:p>
        </w:tc>
        <w:tc>
          <w:tcPr>
            <w:tcW w:w="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Thu lãi tiền gửi</w:t>
            </w:r>
          </w:p>
        </w:tc>
        <w:tc>
          <w:tcPr>
            <w:tcW w:w="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Thu lãi cho vay</w:t>
            </w:r>
          </w:p>
        </w:tc>
        <w:tc>
          <w:tcPr>
            <w:tcW w:w="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xml:space="preserve">Thu đầu tư trái phiếu Chính phủ, tín phiếu Kho bạc, tín phiếu Ngân </w:t>
            </w:r>
            <w:r w:rsidRPr="00324185">
              <w:rPr>
                <w:rFonts w:ascii="Arial" w:eastAsia="Times New Roman" w:hAnsi="Arial" w:cs="Arial"/>
                <w:color w:val="000000"/>
                <w:kern w:val="0"/>
                <w:sz w:val="8"/>
                <w:szCs w:val="8"/>
                <w14:ligatures w14:val="none"/>
              </w:rPr>
              <w:lastRenderedPageBreak/>
              <w:t>hàng Nhà nước</w:t>
            </w:r>
          </w:p>
        </w:tc>
        <w:tc>
          <w:tcPr>
            <w:tcW w:w="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lastRenderedPageBreak/>
              <w:t>Thu khác</w:t>
            </w:r>
          </w:p>
        </w:tc>
        <w:tc>
          <w:tcPr>
            <w:tcW w:w="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Chi phí</w:t>
            </w:r>
          </w:p>
        </w:tc>
        <w:tc>
          <w:tcPr>
            <w:tcW w:w="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Chi phí hoạt động của Quỹ bảo toàn</w:t>
            </w:r>
          </w:p>
        </w:tc>
        <w:tc>
          <w:tcPr>
            <w:tcW w:w="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Chi cho cán bộ nhân viên</w:t>
            </w:r>
          </w:p>
        </w:tc>
        <w:tc>
          <w:tcPr>
            <w:tcW w:w="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Chi dự phòng</w:t>
            </w:r>
          </w:p>
        </w:tc>
        <w:tc>
          <w:tcPr>
            <w:tcW w:w="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Chi khác</w:t>
            </w:r>
          </w:p>
        </w:tc>
        <w:tc>
          <w:tcPr>
            <w:tcW w:w="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Chênh lệch thu, chi tại kỳ báo cáo</w:t>
            </w:r>
          </w:p>
        </w:tc>
        <w:tc>
          <w:tcPr>
            <w:tcW w:w="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Chênh lệch thu, chi (lũy kế)</w:t>
            </w:r>
          </w:p>
        </w:tc>
      </w:tr>
      <w:tr w:rsidR="00324185" w:rsidRPr="00324185" w:rsidTr="00324185">
        <w:trPr>
          <w:trHeight w:val="20"/>
          <w:tblCellSpacing w:w="0" w:type="dxa"/>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(1)</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(2)</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(3)</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(4)</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(5)</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(6)</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(7)</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(8)</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(9)</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(10)</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(11)</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(12)</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(13)</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(14)</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(15)</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(16)</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(17)</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(18)</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(19)</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(20)</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(21)</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(22)</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(23)</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(24)</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(25)</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(26)</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(27)</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(28)</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(29)</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(30)</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(31)</w:t>
            </w:r>
          </w:p>
        </w:tc>
      </w:tr>
      <w:tr w:rsidR="00324185" w:rsidRPr="00324185" w:rsidTr="00324185">
        <w:trPr>
          <w:trHeight w:val="20"/>
          <w:tblCellSpacing w:w="0" w:type="dxa"/>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b/>
                <w:bCs/>
                <w:color w:val="000000"/>
                <w:kern w:val="0"/>
                <w:sz w:val="8"/>
                <w:szCs w:val="8"/>
                <w14:ligatures w14:val="none"/>
              </w:rPr>
              <w:t>I</w:t>
            </w:r>
          </w:p>
        </w:tc>
        <w:tc>
          <w:tcPr>
            <w:tcW w:w="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b/>
                <w:bCs/>
                <w:color w:val="000000"/>
                <w:kern w:val="0"/>
                <w:sz w:val="8"/>
                <w:szCs w:val="8"/>
                <w14:ligatures w14:val="none"/>
              </w:rPr>
              <w:t>Số liệu thời điểm báo cáo</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2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r>
      <w:tr w:rsidR="00324185" w:rsidRPr="00324185" w:rsidTr="00324185">
        <w:trPr>
          <w:trHeight w:val="20"/>
          <w:tblCellSpacing w:w="0" w:type="dxa"/>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b/>
                <w:bCs/>
                <w:color w:val="000000"/>
                <w:kern w:val="0"/>
                <w:sz w:val="8"/>
                <w:szCs w:val="8"/>
                <w14:ligatures w14:val="none"/>
              </w:rPr>
              <w:t>II</w:t>
            </w:r>
          </w:p>
        </w:tc>
        <w:tc>
          <w:tcPr>
            <w:tcW w:w="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b/>
                <w:bCs/>
                <w:color w:val="000000"/>
                <w:kern w:val="0"/>
                <w:sz w:val="8"/>
                <w:szCs w:val="8"/>
                <w14:ligatures w14:val="none"/>
              </w:rPr>
              <w:t>Cho vay từ Quỹ bảo toàn</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t> </w:t>
            </w:r>
          </w:p>
        </w:tc>
        <w:tc>
          <w:tcPr>
            <w:tcW w:w="2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t> </w:t>
            </w:r>
          </w:p>
        </w:tc>
        <w:tc>
          <w:tcPr>
            <w:tcW w:w="2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r>
      <w:tr w:rsidR="00324185" w:rsidRPr="00324185" w:rsidTr="00324185">
        <w:trPr>
          <w:trHeight w:val="20"/>
          <w:tblCellSpacing w:w="0" w:type="dxa"/>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II.1</w:t>
            </w:r>
          </w:p>
        </w:tc>
        <w:tc>
          <w:tcPr>
            <w:tcW w:w="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xml:space="preserve">Cho vay </w:t>
            </w:r>
            <w:r w:rsidRPr="00324185">
              <w:rPr>
                <w:rFonts w:ascii="Arial" w:eastAsia="Times New Roman" w:hAnsi="Arial" w:cs="Arial"/>
                <w:color w:val="000000"/>
                <w:kern w:val="0"/>
                <w:sz w:val="8"/>
                <w:szCs w:val="8"/>
                <w14:ligatures w14:val="none"/>
              </w:rPr>
              <w:lastRenderedPageBreak/>
              <w:t>hỗ trợ khó khăn về tài chính</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lastRenderedPageBreak/>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t> </w:t>
            </w:r>
          </w:p>
        </w:tc>
        <w:tc>
          <w:tcPr>
            <w:tcW w:w="2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t> </w:t>
            </w:r>
          </w:p>
        </w:tc>
        <w:tc>
          <w:tcPr>
            <w:tcW w:w="2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r>
      <w:tr w:rsidR="00324185" w:rsidRPr="00324185" w:rsidTr="00324185">
        <w:trPr>
          <w:trHeight w:val="20"/>
          <w:tblCellSpacing w:w="0" w:type="dxa"/>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II.2</w:t>
            </w:r>
          </w:p>
        </w:tc>
        <w:tc>
          <w:tcPr>
            <w:tcW w:w="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Cho vay hỗ trợ khó khăn về khả năng chi trả</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t> </w:t>
            </w:r>
          </w:p>
        </w:tc>
        <w:tc>
          <w:tcPr>
            <w:tcW w:w="2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t> </w:t>
            </w:r>
          </w:p>
        </w:tc>
        <w:tc>
          <w:tcPr>
            <w:tcW w:w="2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r>
      <w:tr w:rsidR="00324185" w:rsidRPr="00324185" w:rsidTr="00324185">
        <w:trPr>
          <w:trHeight w:val="20"/>
          <w:tblCellSpacing w:w="0" w:type="dxa"/>
        </w:trPr>
        <w:tc>
          <w:tcPr>
            <w:tcW w:w="1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II.3</w:t>
            </w:r>
          </w:p>
        </w:tc>
        <w:tc>
          <w:tcPr>
            <w:tcW w:w="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Cho vay khác</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t> </w:t>
            </w:r>
          </w:p>
        </w:tc>
        <w:tc>
          <w:tcPr>
            <w:tcW w:w="2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t> </w:t>
            </w:r>
          </w:p>
        </w:tc>
        <w:tc>
          <w:tcPr>
            <w:tcW w:w="2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shd w:val="clear" w:color="auto" w:fill="C0C0C0"/>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0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c>
          <w:tcPr>
            <w:tcW w:w="150"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24185" w:rsidRPr="00324185" w:rsidRDefault="00324185" w:rsidP="00324185">
            <w:pPr>
              <w:spacing w:before="120" w:after="120" w:line="234" w:lineRule="atLeast"/>
              <w:jc w:val="center"/>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8"/>
                <w:szCs w:val="8"/>
                <w14:ligatures w14:val="none"/>
              </w:rPr>
              <w:t> </w:t>
            </w:r>
          </w:p>
        </w:tc>
      </w:tr>
    </w:tbl>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b/>
          <w:bCs/>
          <w:i/>
          <w:iCs/>
          <w:color w:val="000000"/>
          <w:kern w:val="0"/>
          <w:sz w:val="18"/>
          <w:szCs w:val="18"/>
          <w14:ligatures w14:val="none"/>
        </w:rPr>
        <w:lastRenderedPageBreak/>
        <w:t>1. Đối tượng báo cáo</w:t>
      </w:r>
      <w:r w:rsidRPr="00324185">
        <w:rPr>
          <w:rFonts w:ascii="Arial" w:eastAsia="Times New Roman" w:hAnsi="Arial" w:cs="Arial"/>
          <w:color w:val="000000"/>
          <w:kern w:val="0"/>
          <w:sz w:val="18"/>
          <w:szCs w:val="18"/>
          <w14:ligatures w14:val="none"/>
        </w:rPr>
        <w:t>: Ngân hàng Hợp tác xã Việt Nam.</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b/>
          <w:bCs/>
          <w:i/>
          <w:iCs/>
          <w:color w:val="000000"/>
          <w:kern w:val="0"/>
          <w:sz w:val="18"/>
          <w:szCs w:val="18"/>
          <w14:ligatures w14:val="none"/>
        </w:rPr>
        <w:t>2. Yêu cầu số liệu báo cáo</w:t>
      </w:r>
      <w:r w:rsidRPr="00324185">
        <w:rPr>
          <w:rFonts w:ascii="Arial" w:eastAsia="Times New Roman" w:hAnsi="Arial" w:cs="Arial"/>
          <w:color w:val="000000"/>
          <w:kern w:val="0"/>
          <w:sz w:val="18"/>
          <w:szCs w:val="18"/>
          <w14:ligatures w14:val="none"/>
        </w:rPr>
        <w:t>: Trụ sở chính Ngân hàng Hợp tác xã Việt Nam tổng hợp số liệu toàn hệ thống gửi NHNN thông qua Cục Công nghệ thông tin.</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b/>
          <w:bCs/>
          <w:i/>
          <w:iCs/>
          <w:color w:val="000000"/>
          <w:kern w:val="0"/>
          <w:sz w:val="18"/>
          <w:szCs w:val="18"/>
          <w14:ligatures w14:val="none"/>
        </w:rPr>
        <w:t>3. Đơn vị nhận và duyệt báo cáo</w:t>
      </w:r>
      <w:r w:rsidRPr="00324185">
        <w:rPr>
          <w:rFonts w:ascii="Arial" w:eastAsia="Times New Roman" w:hAnsi="Arial" w:cs="Arial"/>
          <w:color w:val="000000"/>
          <w:kern w:val="0"/>
          <w:sz w:val="18"/>
          <w:szCs w:val="18"/>
          <w14:ligatures w14:val="none"/>
        </w:rPr>
        <w:t>: Cơ quan Thanh tra, giám sát ngân hàng.</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b/>
          <w:bCs/>
          <w:i/>
          <w:iCs/>
          <w:color w:val="000000"/>
          <w:kern w:val="0"/>
          <w:sz w:val="18"/>
          <w:szCs w:val="18"/>
          <w14:ligatures w14:val="none"/>
        </w:rPr>
        <w:t>4. Thời hạn gửi báo cáo</w:t>
      </w:r>
      <w:r w:rsidRPr="00324185">
        <w:rPr>
          <w:rFonts w:ascii="Arial" w:eastAsia="Times New Roman" w:hAnsi="Arial" w:cs="Arial"/>
          <w:color w:val="000000"/>
          <w:kern w:val="0"/>
          <w:sz w:val="18"/>
          <w:szCs w:val="18"/>
          <w14:ligatures w14:val="none"/>
        </w:rPr>
        <w:t>:</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18"/>
          <w:szCs w:val="18"/>
          <w14:ligatures w14:val="none"/>
        </w:rPr>
        <w:t>- Báo cáo định kỳ 6 tháng: Gửi chậm nhất ngày 15/7 hàng năm.</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18"/>
          <w:szCs w:val="18"/>
          <w14:ligatures w14:val="none"/>
        </w:rPr>
        <w:t>- Báo cáo định kỳ năm: Chậm nhất 45 ngày sau khi kết thúc năm tài chính.</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b/>
          <w:bCs/>
          <w:i/>
          <w:iCs/>
          <w:color w:val="000000"/>
          <w:kern w:val="0"/>
          <w:sz w:val="18"/>
          <w:szCs w:val="18"/>
          <w14:ligatures w14:val="none"/>
        </w:rPr>
        <w:t>5. Hướng dẫn lập báo cáo</w:t>
      </w:r>
      <w:r w:rsidRPr="00324185">
        <w:rPr>
          <w:rFonts w:ascii="Arial" w:eastAsia="Times New Roman" w:hAnsi="Arial" w:cs="Arial"/>
          <w:color w:val="000000"/>
          <w:kern w:val="0"/>
          <w:sz w:val="18"/>
          <w:szCs w:val="18"/>
          <w14:ligatures w14:val="none"/>
        </w:rPr>
        <w:t>:</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18"/>
          <w:szCs w:val="18"/>
          <w14:ligatures w14:val="none"/>
        </w:rPr>
        <w:t>- Dòng I: Báo cáo số liệu đến cuối ngày cuối cùng của kỳ báo cáo.</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18"/>
          <w:szCs w:val="18"/>
          <w14:ligatures w14:val="none"/>
        </w:rPr>
        <w:t>+ Cột (20) = Cột (21) + Cột (22) + Cột (23) + Cột (24)</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18"/>
          <w:szCs w:val="18"/>
          <w14:ligatures w14:val="none"/>
        </w:rPr>
        <w:t>+ Cột (25) = Cột (26) + Cột (27) + Cột (28) + Cột (29)</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18"/>
          <w:szCs w:val="18"/>
          <w14:ligatures w14:val="none"/>
        </w:rPr>
        <w:t>+ Cột (30) = Cột (20) - Cột (25)</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18"/>
          <w:szCs w:val="18"/>
          <w14:ligatures w14:val="none"/>
        </w:rPr>
        <w:t>+ Cột (31): Điền chênh lệch thu, chi từ khi thành lập đến thời điểm báo cáo.</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18"/>
          <w:szCs w:val="18"/>
          <w14:ligatures w14:val="none"/>
        </w:rPr>
        <w:t>+ Cột (20), (21), (22), (23), (24), (25), (26), (27), (28), (29), (30), (31), TCTD không phải báo cáo tại kỳ 6 tháng.</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18"/>
          <w:szCs w:val="18"/>
          <w14:ligatures w14:val="none"/>
        </w:rPr>
        <w:t>- Dòng II:</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18"/>
          <w:szCs w:val="18"/>
          <w14:ligatures w14:val="none"/>
        </w:rPr>
        <w:t>+ II= II.1+II.2+II.3</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18"/>
          <w:szCs w:val="18"/>
          <w14:ligatures w14:val="none"/>
        </w:rPr>
        <w:t>+ II.1, II.2, II.3 tương ứng với các cột (7, 8, 9, 10, 11): Báo cáo số liệu đến cuối ngày cuối cùng của kỳ báo cáo.</w:t>
      </w:r>
    </w:p>
    <w:p w:rsidR="00324185" w:rsidRPr="00324185" w:rsidRDefault="00324185" w:rsidP="00324185">
      <w:pPr>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color w:val="000000"/>
          <w:kern w:val="0"/>
          <w:sz w:val="18"/>
          <w:szCs w:val="18"/>
          <w14:ligatures w14:val="none"/>
        </w:rPr>
        <w:t>+ II.1, II.2, II.3 tương ứng với các cột (12, 13, 14): báo cáo biện pháp đã triển khai</w:t>
      </w:r>
    </w:p>
    <w:p w:rsidR="00324185" w:rsidRPr="00324185" w:rsidRDefault="00324185" w:rsidP="00324185">
      <w:pPr>
        <w:shd w:val="clear" w:color="auto" w:fill="FFFFFF"/>
        <w:spacing w:before="120" w:after="120" w:line="234" w:lineRule="atLeast"/>
        <w:rPr>
          <w:rFonts w:ascii="Arial" w:eastAsia="Times New Roman" w:hAnsi="Arial" w:cs="Arial"/>
          <w:color w:val="000000"/>
          <w:kern w:val="0"/>
          <w:sz w:val="18"/>
          <w:szCs w:val="18"/>
          <w14:ligatures w14:val="none"/>
        </w:rPr>
      </w:pPr>
      <w:r w:rsidRPr="00324185">
        <w:rPr>
          <w:rFonts w:ascii="Arial" w:eastAsia="Times New Roman" w:hAnsi="Arial" w:cs="Arial"/>
          <w:b/>
          <w:bCs/>
          <w:color w:val="000000"/>
          <w:kern w:val="0"/>
          <w:sz w:val="18"/>
          <w:szCs w:val="18"/>
          <w14:ligatures w14:val="none"/>
        </w:rPr>
        <w:t>Ghi chú: </w:t>
      </w:r>
      <w:r w:rsidRPr="00324185">
        <w:rPr>
          <w:rFonts w:ascii="Arial" w:eastAsia="Times New Roman" w:hAnsi="Arial" w:cs="Arial"/>
          <w:color w:val="000000"/>
          <w:kern w:val="0"/>
          <w:sz w:val="18"/>
          <w:szCs w:val="18"/>
          <w14:ligatures w14:val="none"/>
        </w:rPr>
        <w:t>Tổ chức tín dụng không điền vào ô màu xám.</w:t>
      </w:r>
    </w:p>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85"/>
    <w:rsid w:val="00324185"/>
    <w:rsid w:val="0064165C"/>
    <w:rsid w:val="00804912"/>
    <w:rsid w:val="00E4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AEB44-8EA0-4ADB-8565-1F2E032F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185"/>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9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2024-07-10T07:28:00Z</dcterms:created>
  <dcterms:modified xsi:type="dcterms:W3CDTF">2024-07-10T07:28:00Z</dcterms:modified>
</cp:coreProperties>
</file>