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C43DF" w:rsidRPr="00CC43DF" w:rsidRDefault="00CC43DF" w:rsidP="00CC43D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
      <w:r w:rsidRPr="00CC43DF">
        <w:rPr>
          <w:rFonts w:ascii="Arial" w:eastAsia="Times New Roman" w:hAnsi="Arial" w:cs="Arial"/>
          <w:b/>
          <w:bCs/>
          <w:color w:val="000000"/>
          <w:kern w:val="0"/>
          <w:szCs w:val="24"/>
          <w14:ligatures w14:val="none"/>
        </w:rPr>
        <w:t>PHỤ LỤC I</w:t>
      </w:r>
      <w:bookmarkEnd w:id="0"/>
    </w:p>
    <w:p w:rsidR="00CC43DF" w:rsidRPr="00CC43DF" w:rsidRDefault="00CC43DF" w:rsidP="00CC43D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CC43DF">
        <w:rPr>
          <w:rFonts w:ascii="Arial" w:eastAsia="Times New Roman" w:hAnsi="Arial" w:cs="Arial"/>
          <w:color w:val="000000"/>
          <w:kern w:val="0"/>
          <w:sz w:val="18"/>
          <w:szCs w:val="18"/>
          <w14:ligatures w14:val="none"/>
        </w:rPr>
        <w:t>TIÊU CHÍ, CHỈ TIÊU XÁC ĐỊNH HUYỆN NGHÈO</w:t>
      </w:r>
      <w:bookmarkEnd w:id="1"/>
      <w:r w:rsidRPr="00CC43DF">
        <w:rPr>
          <w:rFonts w:ascii="Arial" w:eastAsia="Times New Roman" w:hAnsi="Arial" w:cs="Arial"/>
          <w:color w:val="222222"/>
          <w:kern w:val="0"/>
          <w:sz w:val="18"/>
          <w:szCs w:val="18"/>
          <w14:ligatures w14:val="none"/>
        </w:rPr>
        <w:br/>
      </w:r>
      <w:r w:rsidRPr="00CC43DF">
        <w:rPr>
          <w:rFonts w:ascii="Arial" w:eastAsia="Times New Roman" w:hAnsi="Arial" w:cs="Arial"/>
          <w:i/>
          <w:iCs/>
          <w:color w:val="000000"/>
          <w:kern w:val="0"/>
          <w:sz w:val="18"/>
          <w:szCs w:val="18"/>
          <w14:ligatures w14:val="none"/>
        </w:rPr>
        <w:t>(Kèm theo Quyết định số 36/2021/QĐ-TTg ngày 13 tháng 12 năm 2021 của Thủ tướng Chính phủ)</w:t>
      </w:r>
    </w:p>
    <w:p w:rsidR="00CC43DF" w:rsidRPr="00CC43DF" w:rsidRDefault="00CC43DF" w:rsidP="00CC43DF">
      <w:pPr>
        <w:shd w:val="clear" w:color="auto" w:fill="FFFFFF"/>
        <w:spacing w:after="0" w:line="234" w:lineRule="atLeast"/>
        <w:rPr>
          <w:rFonts w:ascii="Arial" w:eastAsia="Times New Roman" w:hAnsi="Arial" w:cs="Arial"/>
          <w:color w:val="000000"/>
          <w:kern w:val="0"/>
          <w:sz w:val="18"/>
          <w:szCs w:val="18"/>
          <w14:ligatures w14:val="none"/>
        </w:rPr>
      </w:pPr>
      <w:bookmarkStart w:id="2" w:name="muc_1"/>
      <w:r w:rsidRPr="00CC43DF">
        <w:rPr>
          <w:rFonts w:ascii="Arial" w:eastAsia="Times New Roman" w:hAnsi="Arial" w:cs="Arial"/>
          <w:b/>
          <w:bCs/>
          <w:color w:val="000000"/>
          <w:kern w:val="0"/>
          <w:sz w:val="18"/>
          <w:szCs w:val="18"/>
          <w14:ligatures w14:val="none"/>
        </w:rPr>
        <w:t>I. TIÊU CHÍ, CHỈ TIÊU XÁC ĐỊNH HUYỆN NGHÈO (KHÔNG BAO GỒM HUYỆN THUỘC KHU VỰC ĐỒNG BẰNG SÔNG CỬU LONG)</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1"/>
        <w:gridCol w:w="1422"/>
        <w:gridCol w:w="1226"/>
        <w:gridCol w:w="1136"/>
        <w:gridCol w:w="1152"/>
        <w:gridCol w:w="1207"/>
        <w:gridCol w:w="1207"/>
        <w:gridCol w:w="1101"/>
      </w:tblGrid>
      <w:tr w:rsidR="00CC43DF" w:rsidRPr="00CC43DF" w:rsidTr="00CC43DF">
        <w:trPr>
          <w:tblCellSpacing w:w="0" w:type="dxa"/>
        </w:trPr>
        <w:tc>
          <w:tcPr>
            <w:tcW w:w="60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STT</w:t>
            </w:r>
          </w:p>
        </w:tc>
        <w:tc>
          <w:tcPr>
            <w:tcW w:w="208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Tiêu chí</w:t>
            </w:r>
          </w:p>
        </w:tc>
        <w:tc>
          <w:tcPr>
            <w:tcW w:w="9362" w:type="dxa"/>
            <w:gridSpan w:val="6"/>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Hệ thống chỉ tiêu xác định, chấm điểm huyện nghèo</w:t>
            </w:r>
          </w:p>
        </w:tc>
      </w:tr>
      <w:tr w:rsidR="00CC43DF" w:rsidRPr="00CC43DF" w:rsidTr="00CC43DF">
        <w:trPr>
          <w:tblCellSpacing w:w="0" w:type="dxa"/>
        </w:trPr>
        <w:tc>
          <w:tcPr>
            <w:tcW w:w="60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1</w:t>
            </w:r>
          </w:p>
        </w:tc>
        <w:tc>
          <w:tcPr>
            <w:tcW w:w="208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và hộ cận nghèo theo chuẩn nghèo đa chiều giai đoạn 2022 - 2025</w:t>
            </w:r>
          </w:p>
        </w:tc>
        <w:tc>
          <w:tcPr>
            <w:tcW w:w="16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35 điểm</w:t>
            </w:r>
          </w:p>
        </w:tc>
        <w:tc>
          <w:tcPr>
            <w:tcW w:w="1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40 điểm</w:t>
            </w:r>
          </w:p>
        </w:tc>
        <w:tc>
          <w:tcPr>
            <w:tcW w:w="15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45 điểm</w:t>
            </w:r>
          </w:p>
        </w:tc>
        <w:tc>
          <w:tcPr>
            <w:tcW w:w="16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50 điểm</w:t>
            </w:r>
          </w:p>
        </w:tc>
        <w:tc>
          <w:tcPr>
            <w:tcW w:w="16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55 điểm</w:t>
            </w:r>
          </w:p>
        </w:tc>
        <w:tc>
          <w:tcPr>
            <w:tcW w:w="14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60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16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Tổng tỷ lệ hộ nghèo và hộ cận nghèo từ 40% đến dưới 45%</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từ 30% đến dưới 35%</w:t>
            </w:r>
          </w:p>
        </w:tc>
        <w:tc>
          <w:tcPr>
            <w:tcW w:w="1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Tổng tỷ lệ hộ nghèo và hộ cận nghèo từ 45% đến dưới 50%</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từ 35% đến dưới 40%</w:t>
            </w:r>
          </w:p>
        </w:tc>
        <w:tc>
          <w:tcPr>
            <w:tcW w:w="15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Tổng tỷ lệ hộ nghèo và hộ cận nghèo từ 50% đến dưới 55%</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từ 40% đến dưới 45%</w:t>
            </w:r>
          </w:p>
        </w:tc>
        <w:tc>
          <w:tcPr>
            <w:tcW w:w="16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Tổng tỷ lệ hộ nghèo và hộ cận nghèo từ 55% đến dưới 60%</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từ 45% đến dưới 50%</w:t>
            </w:r>
          </w:p>
        </w:tc>
        <w:tc>
          <w:tcPr>
            <w:tcW w:w="16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Tổng tỷ lệ hộ nghèo và hộ cận nghèo từ 60% đến dưới 65%</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từ 50% đến dưới 55%</w:t>
            </w:r>
          </w:p>
        </w:tc>
        <w:tc>
          <w:tcPr>
            <w:tcW w:w="14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Tổng tỷ lệ hộ nghèo và hộ cận nghèo từ 65% trở lên</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từ 55% trở lên</w:t>
            </w:r>
          </w:p>
        </w:tc>
      </w:tr>
      <w:tr w:rsidR="00CC43DF" w:rsidRPr="00CC43DF" w:rsidTr="00CC43DF">
        <w:trPr>
          <w:tblCellSpacing w:w="0" w:type="dxa"/>
        </w:trPr>
        <w:tc>
          <w:tcPr>
            <w:tcW w:w="60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2</w:t>
            </w:r>
          </w:p>
        </w:tc>
        <w:tc>
          <w:tcPr>
            <w:tcW w:w="208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Trình độ phát triển kinh tế - xã hội của các đơn vị hành chính cấp xã trên địa bàn huyện</w:t>
            </w:r>
          </w:p>
        </w:tc>
        <w:tc>
          <w:tcPr>
            <w:tcW w:w="16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3 điểm</w:t>
            </w:r>
          </w:p>
        </w:tc>
        <w:tc>
          <w:tcPr>
            <w:tcW w:w="1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6 điểm</w:t>
            </w:r>
          </w:p>
        </w:tc>
        <w:tc>
          <w:tcPr>
            <w:tcW w:w="15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9 điểm</w:t>
            </w:r>
          </w:p>
        </w:tc>
        <w:tc>
          <w:tcPr>
            <w:tcW w:w="16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12 điểm</w:t>
            </w:r>
          </w:p>
        </w:tc>
        <w:tc>
          <w:tcPr>
            <w:tcW w:w="305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15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16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10% đến dưới 30%</w:t>
            </w:r>
          </w:p>
        </w:tc>
        <w:tc>
          <w:tcPr>
            <w:tcW w:w="1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30% đến dưới 40%</w:t>
            </w:r>
          </w:p>
        </w:tc>
        <w:tc>
          <w:tcPr>
            <w:tcW w:w="151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40% đến dưới 50%</w:t>
            </w:r>
          </w:p>
        </w:tc>
        <w:tc>
          <w:tcPr>
            <w:tcW w:w="164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50% đến dưới 60%</w:t>
            </w:r>
          </w:p>
        </w:tc>
        <w:tc>
          <w:tcPr>
            <w:tcW w:w="305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60% trở lên</w:t>
            </w:r>
          </w:p>
        </w:tc>
      </w:tr>
      <w:tr w:rsidR="00CC43DF" w:rsidRPr="00CC43DF" w:rsidTr="00CC43DF">
        <w:trPr>
          <w:tblCellSpacing w:w="0" w:type="dxa"/>
        </w:trPr>
        <w:tc>
          <w:tcPr>
            <w:tcW w:w="60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3</w:t>
            </w:r>
          </w:p>
        </w:tc>
        <w:tc>
          <w:tcPr>
            <w:tcW w:w="208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Thu nhập bình quân đầu người trên địa bàn huyện</w:t>
            </w:r>
          </w:p>
        </w:tc>
        <w:tc>
          <w:tcPr>
            <w:tcW w:w="315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9 điểm</w:t>
            </w:r>
          </w:p>
        </w:tc>
        <w:tc>
          <w:tcPr>
            <w:tcW w:w="315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12 điểm</w:t>
            </w:r>
          </w:p>
        </w:tc>
        <w:tc>
          <w:tcPr>
            <w:tcW w:w="305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15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315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Từ 30.000.000 đến dưới 35.000.000 đồng/người/năm</w:t>
            </w:r>
          </w:p>
        </w:tc>
        <w:tc>
          <w:tcPr>
            <w:tcW w:w="315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Từ 25.000.000 đến dưới 30.000.000</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đồng/người/năm</w:t>
            </w:r>
          </w:p>
        </w:tc>
        <w:tc>
          <w:tcPr>
            <w:tcW w:w="305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Dưới 25.000.000 đồng/người/năm</w:t>
            </w:r>
          </w:p>
        </w:tc>
      </w:tr>
      <w:tr w:rsidR="00CC43DF" w:rsidRPr="00CC43DF" w:rsidTr="00CC43DF">
        <w:trPr>
          <w:tblCellSpacing w:w="0" w:type="dxa"/>
        </w:trPr>
        <w:tc>
          <w:tcPr>
            <w:tcW w:w="60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4</w:t>
            </w:r>
          </w:p>
        </w:tc>
        <w:tc>
          <w:tcPr>
            <w:tcW w:w="208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Huyện khu vực miền núi, vùng cao, biên giới</w:t>
            </w:r>
          </w:p>
        </w:tc>
        <w:tc>
          <w:tcPr>
            <w:tcW w:w="315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6 điểm</w:t>
            </w:r>
          </w:p>
        </w:tc>
        <w:tc>
          <w:tcPr>
            <w:tcW w:w="315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8 điểm</w:t>
            </w:r>
          </w:p>
        </w:tc>
        <w:tc>
          <w:tcPr>
            <w:tcW w:w="305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10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315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Huyện khu vực miền núi</w:t>
            </w:r>
          </w:p>
        </w:tc>
        <w:tc>
          <w:tcPr>
            <w:tcW w:w="315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Huyện khu vực vùng cao</w:t>
            </w:r>
          </w:p>
        </w:tc>
        <w:tc>
          <w:tcPr>
            <w:tcW w:w="305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Huyện khu vực biên giới</w:t>
            </w:r>
          </w:p>
        </w:tc>
      </w:tr>
    </w:tbl>
    <w:p w:rsidR="00CC43DF" w:rsidRPr="00CC43DF" w:rsidRDefault="00CC43DF" w:rsidP="00CC43DF">
      <w:pPr>
        <w:shd w:val="clear" w:color="auto" w:fill="FFFFFF"/>
        <w:spacing w:after="0" w:line="234" w:lineRule="atLeast"/>
        <w:rPr>
          <w:rFonts w:ascii="Arial" w:eastAsia="Times New Roman" w:hAnsi="Arial" w:cs="Arial"/>
          <w:color w:val="000000"/>
          <w:kern w:val="0"/>
          <w:sz w:val="18"/>
          <w:szCs w:val="18"/>
          <w14:ligatures w14:val="none"/>
        </w:rPr>
      </w:pPr>
      <w:bookmarkStart w:id="3" w:name="muc_2"/>
      <w:r w:rsidRPr="00CC43DF">
        <w:rPr>
          <w:rFonts w:ascii="Arial" w:eastAsia="Times New Roman" w:hAnsi="Arial" w:cs="Arial"/>
          <w:b/>
          <w:bCs/>
          <w:color w:val="000000"/>
          <w:kern w:val="0"/>
          <w:sz w:val="18"/>
          <w:szCs w:val="18"/>
          <w14:ligatures w14:val="none"/>
        </w:rPr>
        <w:t>II. TIÊU CHÍ, CHỈ TIÊU XÁC ĐỊNH HUYỆN NGHÈO KHU VỰC ĐỒNG BẰNG SÔNG CỬU LONG</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1309"/>
        <w:gridCol w:w="1371"/>
        <w:gridCol w:w="993"/>
        <w:gridCol w:w="389"/>
        <w:gridCol w:w="741"/>
        <w:gridCol w:w="653"/>
        <w:gridCol w:w="721"/>
        <w:gridCol w:w="792"/>
        <w:gridCol w:w="1416"/>
      </w:tblGrid>
      <w:tr w:rsidR="00CC43DF" w:rsidRPr="00CC43DF" w:rsidTr="00CC43DF">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STT</w:t>
            </w:r>
          </w:p>
        </w:tc>
        <w:tc>
          <w:tcPr>
            <w:tcW w:w="141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Tiêu chí</w:t>
            </w:r>
          </w:p>
        </w:tc>
        <w:tc>
          <w:tcPr>
            <w:tcW w:w="7276" w:type="dxa"/>
            <w:gridSpan w:val="8"/>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Hệ thống chỉ tiêu xác định, chấm điểm huyện nghèo</w:t>
            </w:r>
          </w:p>
        </w:tc>
      </w:tr>
      <w:tr w:rsidR="00CC43DF" w:rsidRPr="00CC43DF" w:rsidTr="00CC43DF">
        <w:trPr>
          <w:tblCellSpacing w:w="0" w:type="dxa"/>
        </w:trPr>
        <w:tc>
          <w:tcPr>
            <w:tcW w:w="594"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1</w:t>
            </w:r>
          </w:p>
        </w:tc>
        <w:tc>
          <w:tcPr>
            <w:tcW w:w="141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hộ nghèo và hộ cận nghèo theo chuẩn nghèo đa chiều giai đoạn 2022 - 2025</w:t>
            </w:r>
          </w:p>
        </w:tc>
        <w:tc>
          <w:tcPr>
            <w:tcW w:w="14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20 điểm</w:t>
            </w:r>
          </w:p>
        </w:tc>
        <w:tc>
          <w:tcPr>
            <w:tcW w:w="14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30 điểm</w:t>
            </w:r>
          </w:p>
        </w:tc>
        <w:tc>
          <w:tcPr>
            <w:tcW w:w="147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40 điểm</w:t>
            </w:r>
          </w:p>
        </w:tc>
        <w:tc>
          <w:tcPr>
            <w:tcW w:w="153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50 điểm</w:t>
            </w:r>
          </w:p>
        </w:tc>
        <w:tc>
          <w:tcPr>
            <w:tcW w:w="13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60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14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Tổng tỷ lệ hộ nghèo và hộ cận nghèo từ 15% đến dưới 20%</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tỷ lệ hộ nghèo dưới 10%</w:t>
            </w:r>
          </w:p>
        </w:tc>
        <w:tc>
          <w:tcPr>
            <w:tcW w:w="14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Tổng tỷ lệ hộ nghèo và hộ cận nghèo từ 20% đến dưới 25%</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tỷ lệ hộ nghèo từ 10% đến dưới 15%</w:t>
            </w:r>
          </w:p>
        </w:tc>
        <w:tc>
          <w:tcPr>
            <w:tcW w:w="1470"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Tổng tỷ lệ hộ nghèo và hộ cận nghèo từ 25% đến dưới 30%</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tỷ lệ hộ nghèo từ 15% đến dưới 20%</w:t>
            </w:r>
          </w:p>
        </w:tc>
        <w:tc>
          <w:tcPr>
            <w:tcW w:w="153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Tổng tỷ lệ hộ nghèo và hộ cận nghèo từ 30% đến dưới 35%</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tỷ lệ hộ nghèo từ 20% đến dưới 25%</w:t>
            </w:r>
          </w:p>
        </w:tc>
        <w:tc>
          <w:tcPr>
            <w:tcW w:w="13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Tổng tỷ lệ hộ nghèo và hộ cận nghèo từ 35% trở lên</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hoặc</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tỷ lệ hộ nghèo từ 25% trở lên</w:t>
            </w:r>
          </w:p>
        </w:tc>
      </w:tr>
      <w:tr w:rsidR="00CC43DF" w:rsidRPr="00CC43DF" w:rsidTr="00CC43DF">
        <w:trPr>
          <w:tblCellSpacing w:w="0" w:type="dxa"/>
        </w:trPr>
        <w:tc>
          <w:tcPr>
            <w:tcW w:w="594"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lastRenderedPageBreak/>
              <w:t>2</w:t>
            </w:r>
          </w:p>
        </w:tc>
        <w:tc>
          <w:tcPr>
            <w:tcW w:w="141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Trình độ phát triển kinh tế - xã hội của các xã trên địa bàn huyện</w:t>
            </w:r>
          </w:p>
        </w:tc>
        <w:tc>
          <w:tcPr>
            <w:tcW w:w="243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5 điểm</w:t>
            </w:r>
          </w:p>
        </w:tc>
        <w:tc>
          <w:tcPr>
            <w:tcW w:w="263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10 điểm</w:t>
            </w:r>
          </w:p>
        </w:tc>
        <w:tc>
          <w:tcPr>
            <w:tcW w:w="220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15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243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10% đến dưới 20%</w:t>
            </w:r>
          </w:p>
        </w:tc>
        <w:tc>
          <w:tcPr>
            <w:tcW w:w="263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20% đến dưới 30%</w:t>
            </w:r>
          </w:p>
        </w:tc>
        <w:tc>
          <w:tcPr>
            <w:tcW w:w="220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Tỷ lệ xã đặc biệt khó khăn trong tổng số đơn vị hành chính cấp xã từ 30% trở lên</w:t>
            </w:r>
          </w:p>
        </w:tc>
      </w:tr>
      <w:tr w:rsidR="00CC43DF" w:rsidRPr="00CC43DF" w:rsidTr="00CC43DF">
        <w:trPr>
          <w:tblCellSpacing w:w="0" w:type="dxa"/>
        </w:trPr>
        <w:tc>
          <w:tcPr>
            <w:tcW w:w="594"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3</w:t>
            </w:r>
          </w:p>
        </w:tc>
        <w:tc>
          <w:tcPr>
            <w:tcW w:w="141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Thu nhập bình quân đầu người trên địa bàn huyện</w:t>
            </w:r>
          </w:p>
        </w:tc>
        <w:tc>
          <w:tcPr>
            <w:tcW w:w="243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5 điểm</w:t>
            </w:r>
          </w:p>
        </w:tc>
        <w:tc>
          <w:tcPr>
            <w:tcW w:w="263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10 điểm</w:t>
            </w:r>
          </w:p>
        </w:tc>
        <w:tc>
          <w:tcPr>
            <w:tcW w:w="220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15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243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Từ 35.000.000 đến dưới 40.000.000 đồng/người/năm</w:t>
            </w:r>
          </w:p>
        </w:tc>
        <w:tc>
          <w:tcPr>
            <w:tcW w:w="263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Từ 30.000.000 đến dưới 35.000.000</w:t>
            </w:r>
          </w:p>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đồng/người/năm</w:t>
            </w:r>
          </w:p>
        </w:tc>
        <w:tc>
          <w:tcPr>
            <w:tcW w:w="220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Dưới 30.000.000 đồng/người/năm</w:t>
            </w:r>
          </w:p>
        </w:tc>
      </w:tr>
      <w:tr w:rsidR="00CC43DF" w:rsidRPr="00CC43DF" w:rsidTr="00CC43DF">
        <w:trPr>
          <w:tblCellSpacing w:w="0" w:type="dxa"/>
        </w:trPr>
        <w:tc>
          <w:tcPr>
            <w:tcW w:w="594"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4</w:t>
            </w:r>
          </w:p>
        </w:tc>
        <w:tc>
          <w:tcPr>
            <w:tcW w:w="141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Huyện biên giới, huyện thuộc các khu vực còn lại</w:t>
            </w:r>
          </w:p>
        </w:tc>
        <w:tc>
          <w:tcPr>
            <w:tcW w:w="360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10 điểm</w:t>
            </w:r>
          </w:p>
        </w:tc>
        <w:tc>
          <w:tcPr>
            <w:tcW w:w="366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b/>
                <w:bCs/>
                <w:color w:val="000000"/>
                <w:kern w:val="0"/>
                <w:sz w:val="18"/>
                <w:szCs w:val="18"/>
                <w14:ligatures w14:val="none"/>
              </w:rPr>
              <w:t>5 điểm</w:t>
            </w:r>
          </w:p>
        </w:tc>
      </w:tr>
      <w:tr w:rsidR="00CC43DF" w:rsidRPr="00CC43DF" w:rsidTr="00CC43D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360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Huyện biên giới</w:t>
            </w:r>
          </w:p>
        </w:tc>
        <w:tc>
          <w:tcPr>
            <w:tcW w:w="3668"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C43DF" w:rsidRPr="00CC43DF" w:rsidRDefault="00CC43DF" w:rsidP="00CC43DF">
            <w:pPr>
              <w:spacing w:before="120" w:after="120" w:line="234" w:lineRule="atLeast"/>
              <w:jc w:val="center"/>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Huyện thuộc các khu vực còn lại</w:t>
            </w:r>
          </w:p>
        </w:tc>
      </w:tr>
      <w:tr w:rsidR="00CC43DF" w:rsidRPr="00CC43DF" w:rsidTr="00CC43DF">
        <w:trPr>
          <w:tblCellSpacing w:w="0" w:type="dxa"/>
        </w:trPr>
        <w:tc>
          <w:tcPr>
            <w:tcW w:w="720" w:type="dxa"/>
            <w:shd w:val="clear" w:color="auto" w:fill="FFFFFF"/>
            <w:vAlign w:val="center"/>
            <w:hideMark/>
          </w:tcPr>
          <w:p w:rsidR="00CC43DF" w:rsidRPr="00CC43DF" w:rsidRDefault="00CC43DF" w:rsidP="00CC43DF">
            <w:pPr>
              <w:spacing w:after="0" w:line="240" w:lineRule="auto"/>
              <w:rPr>
                <w:rFonts w:ascii="Arial" w:eastAsia="Times New Roman" w:hAnsi="Arial" w:cs="Arial"/>
                <w:color w:val="000000"/>
                <w:kern w:val="0"/>
                <w:sz w:val="18"/>
                <w:szCs w:val="18"/>
                <w14:ligatures w14:val="none"/>
              </w:rPr>
            </w:pPr>
          </w:p>
        </w:tc>
        <w:tc>
          <w:tcPr>
            <w:tcW w:w="1710"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1710"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1230"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525"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885"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885"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885"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975"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c>
          <w:tcPr>
            <w:tcW w:w="1695" w:type="dxa"/>
            <w:shd w:val="clear" w:color="auto" w:fill="FFFFFF"/>
            <w:vAlign w:val="center"/>
            <w:hideMark/>
          </w:tcPr>
          <w:p w:rsidR="00CC43DF" w:rsidRPr="00CC43DF" w:rsidRDefault="00CC43DF" w:rsidP="00CC43DF">
            <w:pPr>
              <w:spacing w:after="0" w:line="240" w:lineRule="auto"/>
              <w:rPr>
                <w:rFonts w:eastAsia="Times New Roman" w:cs="Times New Roman"/>
                <w:kern w:val="0"/>
                <w:sz w:val="20"/>
                <w:szCs w:val="20"/>
                <w14:ligatures w14:val="none"/>
              </w:rPr>
            </w:pPr>
          </w:p>
        </w:tc>
      </w:tr>
    </w:tbl>
    <w:p w:rsidR="00CC43DF" w:rsidRPr="00CC43DF" w:rsidRDefault="00CC43DF" w:rsidP="00CC43DF">
      <w:pPr>
        <w:shd w:val="clear" w:color="auto" w:fill="FFFFFF"/>
        <w:spacing w:before="120" w:after="120" w:line="234" w:lineRule="atLeast"/>
        <w:rPr>
          <w:rFonts w:ascii="Arial" w:eastAsia="Times New Roman" w:hAnsi="Arial" w:cs="Arial"/>
          <w:color w:val="000000"/>
          <w:kern w:val="0"/>
          <w:sz w:val="18"/>
          <w:szCs w:val="18"/>
          <w14:ligatures w14:val="none"/>
        </w:rPr>
      </w:pPr>
      <w:r w:rsidRPr="00CC43DF">
        <w:rPr>
          <w:rFonts w:ascii="Arial" w:eastAsia="Times New Roman" w:hAnsi="Arial" w:cs="Arial"/>
          <w:i/>
          <w:iCs/>
          <w:color w:val="000000"/>
          <w:kern w:val="0"/>
          <w:sz w:val="18"/>
          <w:szCs w:val="18"/>
          <w14:ligatures w14:val="none"/>
        </w:rPr>
        <w:t>Ghi chú:</w:t>
      </w:r>
      <w:r w:rsidRPr="00CC43DF">
        <w:rPr>
          <w:rFonts w:ascii="Arial" w:eastAsia="Times New Roman" w:hAnsi="Arial" w:cs="Arial"/>
          <w:color w:val="000000"/>
          <w:kern w:val="0"/>
          <w:sz w:val="18"/>
          <w:szCs w:val="18"/>
          <w14:ligatures w14:val="none"/>
        </w:rPr>
        <w:t> xã đặc biệt khó khăn vùng dân tộc thiểu số và miền núi (xã khu vực III), xã đặc biệt khó khăn vùng bãi ngang, ven biển và hải đảo được xác định tại thời điểm lập hồ sơ, không bao gồm các xã đã được cấp có thẩm quyền công nhận trở thành phường, thị trấn hoặc đạt chuẩn nông thôn mới.</w:t>
      </w:r>
    </w:p>
    <w:p w:rsidR="00CC43DF" w:rsidRPr="00CC43DF" w:rsidRDefault="00CC43DF" w:rsidP="00CC43DF">
      <w:pPr>
        <w:shd w:val="clear" w:color="auto" w:fill="FFFFFF"/>
        <w:spacing w:before="120" w:after="120" w:line="234" w:lineRule="atLeast"/>
        <w:rPr>
          <w:rFonts w:ascii="Arial" w:eastAsia="Times New Roman" w:hAnsi="Arial" w:cs="Arial"/>
          <w:color w:val="000000"/>
          <w:kern w:val="0"/>
          <w:sz w:val="18"/>
          <w:szCs w:val="18"/>
          <w14:ligatures w14:val="none"/>
        </w:rPr>
      </w:pPr>
      <w:r w:rsidRPr="00CC43DF">
        <w:rPr>
          <w:rFonts w:ascii="Arial" w:eastAsia="Times New Roman" w:hAnsi="Arial" w:cs="Arial"/>
          <w:color w:val="000000"/>
          <w:kern w:val="0"/>
          <w:sz w:val="18"/>
          <w:szCs w:val="18"/>
          <w14:ligatures w14:val="none"/>
        </w:rPr>
        <w:t> </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F"/>
    <w:rsid w:val="00014BC2"/>
    <w:rsid w:val="0064165C"/>
    <w:rsid w:val="00804912"/>
    <w:rsid w:val="00CC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CDBF-0862-43EA-BC25-28F998D7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3DF"/>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CC43DF"/>
    <w:rPr>
      <w:b/>
      <w:bCs/>
    </w:rPr>
  </w:style>
  <w:style w:type="character" w:styleId="Emphasis">
    <w:name w:val="Emphasis"/>
    <w:basedOn w:val="DefaultParagraphFont"/>
    <w:uiPriority w:val="20"/>
    <w:qFormat/>
    <w:rsid w:val="00CC4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2024-07-16T09:59:00Z</dcterms:created>
  <dcterms:modified xsi:type="dcterms:W3CDTF">2024-07-16T09:59:00Z</dcterms:modified>
</cp:coreProperties>
</file>