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CE" w:rsidRPr="00FA54CE" w:rsidRDefault="00FA54CE" w:rsidP="00FA54CE">
      <w:pPr>
        <w:shd w:val="clear" w:color="auto" w:fill="FFFFFF"/>
        <w:spacing w:before="120" w:after="0" w:line="240" w:lineRule="auto"/>
        <w:jc w:val="center"/>
        <w:rPr>
          <w:rFonts w:eastAsia="Times New Roman" w:cs="Arial"/>
          <w:color w:val="000000"/>
        </w:rPr>
      </w:pPr>
      <w:r w:rsidRPr="00FA54CE">
        <w:rPr>
          <w:rFonts w:eastAsia="Times New Roman" w:cs="Arial"/>
          <w:b/>
          <w:bCs/>
          <w:color w:val="000000"/>
        </w:rPr>
        <w:t>PHỤ LỤC VI</w:t>
      </w:r>
    </w:p>
    <w:p w:rsidR="00FA54CE" w:rsidRPr="00FA54CE" w:rsidRDefault="00FA54CE" w:rsidP="00FA54CE">
      <w:pPr>
        <w:shd w:val="clear" w:color="auto" w:fill="FFFFFF"/>
        <w:spacing w:before="120" w:after="0" w:line="240" w:lineRule="auto"/>
        <w:jc w:val="center"/>
        <w:rPr>
          <w:rFonts w:eastAsia="Times New Roman" w:cs="Arial"/>
          <w:color w:val="000000"/>
        </w:rPr>
      </w:pPr>
      <w:bookmarkStart w:id="0" w:name="_GoBack"/>
      <w:r w:rsidRPr="00FA54CE">
        <w:rPr>
          <w:rFonts w:eastAsia="Times New Roman" w:cs="Arial"/>
          <w:color w:val="000000"/>
        </w:rPr>
        <w:t>BẢNG GIÁ CHUẨN THUÊ NHÀ Ở CŨ THUỘC TÀI SẢN CÔNG</w:t>
      </w:r>
      <w:bookmarkEnd w:id="0"/>
      <w:r w:rsidRPr="00FA54CE">
        <w:rPr>
          <w:rFonts w:eastAsia="Times New Roman" w:cs="Arial"/>
          <w:color w:val="000000"/>
        </w:rPr>
        <w:br/>
      </w:r>
      <w:r w:rsidRPr="00FA54CE">
        <w:rPr>
          <w:rFonts w:eastAsia="Times New Roman" w:cs="Arial"/>
          <w:i/>
          <w:iCs/>
          <w:color w:val="000000"/>
        </w:rPr>
        <w:t>(Kèm theo Nghị định số 95/2024/NĐ-CP ngày 24 tháng 7 năm 2024 của Chính phủ)</w:t>
      </w:r>
    </w:p>
    <w:p w:rsidR="00FA54CE" w:rsidRPr="00FA54CE" w:rsidRDefault="00FA54CE" w:rsidP="00FA54C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bookmarkStart w:id="1" w:name="bookmark1197"/>
      <w:bookmarkStart w:id="2" w:name="bookmark1196"/>
      <w:bookmarkStart w:id="3" w:name="bookmark1195"/>
      <w:bookmarkEnd w:id="1"/>
      <w:bookmarkEnd w:id="2"/>
      <w:r w:rsidRPr="00FA54CE">
        <w:rPr>
          <w:rFonts w:eastAsia="Times New Roman" w:cs="Arial"/>
          <w:color w:val="000000"/>
        </w:rPr>
        <w:t>I. Bảng giá chuẩn cho thuê nhà ở cũ thuộc tài sản công mà chưa được cải tạo, xây dựng lại được quy định như sau:</w:t>
      </w:r>
      <w:bookmarkEnd w:id="3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954"/>
        <w:gridCol w:w="954"/>
        <w:gridCol w:w="858"/>
        <w:gridCol w:w="1049"/>
        <w:gridCol w:w="857"/>
        <w:gridCol w:w="857"/>
        <w:gridCol w:w="857"/>
        <w:gridCol w:w="1143"/>
      </w:tblGrid>
      <w:tr w:rsidR="00FA54CE" w:rsidRPr="00FA54CE" w:rsidTr="00FA54CE">
        <w:trPr>
          <w:trHeight w:val="20"/>
          <w:tblCellSpacing w:w="0" w:type="dxa"/>
          <w:jc w:val="center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Loại nhà</w:t>
            </w:r>
          </w:p>
        </w:tc>
        <w:tc>
          <w:tcPr>
            <w:tcW w:w="2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Biệt thự (hạng)</w:t>
            </w:r>
          </w:p>
        </w:tc>
        <w:tc>
          <w:tcPr>
            <w:tcW w:w="19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Nhà ở thông thường (cấp)</w:t>
            </w:r>
          </w:p>
        </w:tc>
      </w:tr>
      <w:tr w:rsidR="00FA54CE" w:rsidRPr="00FA54CE" w:rsidTr="00FA54CE">
        <w:trPr>
          <w:trHeight w:val="20"/>
          <w:tblCellSpacing w:w="0" w:type="dxa"/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Cấp, hạng nhà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II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III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IV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II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IV</w:t>
            </w:r>
          </w:p>
        </w:tc>
      </w:tr>
      <w:tr w:rsidR="00FA54CE" w:rsidRPr="00FA54CE" w:rsidTr="00FA54CE">
        <w:trPr>
          <w:trHeight w:val="20"/>
          <w:tblCellSpacing w:w="0" w:type="dxa"/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Giá (đồng/m</w:t>
            </w:r>
            <w:r w:rsidRPr="00FA54CE">
              <w:rPr>
                <w:rFonts w:eastAsia="Times New Roman" w:cs="Arial"/>
                <w:b/>
                <w:bCs/>
                <w:vertAlign w:val="superscript"/>
              </w:rPr>
              <w:t>2 </w:t>
            </w:r>
            <w:r w:rsidRPr="00FA54CE">
              <w:rPr>
                <w:rFonts w:eastAsia="Times New Roman" w:cs="Arial"/>
                <w:b/>
                <w:bCs/>
              </w:rPr>
              <w:t>sử dụng/tháng)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11.300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13.500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15.800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24.800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6.800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6.300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6.100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4.100</w:t>
            </w:r>
          </w:p>
        </w:tc>
      </w:tr>
    </w:tbl>
    <w:p w:rsidR="00FA54CE" w:rsidRPr="00FA54CE" w:rsidRDefault="00FA54CE" w:rsidP="00FA54CE">
      <w:pPr>
        <w:shd w:val="clear" w:color="auto" w:fill="FFFFFF"/>
        <w:spacing w:before="120" w:after="0" w:line="240" w:lineRule="auto"/>
        <w:rPr>
          <w:rFonts w:eastAsia="Times New Roman" w:cs="Arial"/>
          <w:color w:val="000000"/>
        </w:rPr>
      </w:pPr>
      <w:r w:rsidRPr="00FA54CE">
        <w:rPr>
          <w:rFonts w:eastAsia="Times New Roman" w:cs="Arial"/>
          <w:color w:val="000000"/>
        </w:rPr>
        <w:t>Việc xác định cấp, hạng nhà ở thực hiện theo quy định tại Điều 72 của Nghị định này.</w:t>
      </w:r>
    </w:p>
    <w:p w:rsidR="00FA54CE" w:rsidRPr="00FA54CE" w:rsidRDefault="00FA54CE" w:rsidP="00FA54CE">
      <w:pPr>
        <w:shd w:val="clear" w:color="auto" w:fill="FFFFFF"/>
        <w:spacing w:before="120" w:after="0" w:line="240" w:lineRule="auto"/>
        <w:rPr>
          <w:rFonts w:eastAsia="Times New Roman" w:cs="Arial"/>
          <w:color w:val="000000"/>
        </w:rPr>
      </w:pPr>
      <w:r w:rsidRPr="00FA54CE">
        <w:rPr>
          <w:rFonts w:eastAsia="Times New Roman" w:cs="Arial"/>
          <w:b/>
          <w:bCs/>
          <w:color w:val="000000"/>
        </w:rPr>
        <w:t>II. Hệ số điều chỉnh giá chuẩn áp dụng để xác định mức giá cho thuê nhà ở</w:t>
      </w:r>
    </w:p>
    <w:p w:rsidR="00FA54CE" w:rsidRPr="00FA54CE" w:rsidRDefault="00FA54CE" w:rsidP="00FA54C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bookmarkStart w:id="4" w:name="bookmark1198"/>
      <w:bookmarkEnd w:id="4"/>
      <w:r w:rsidRPr="00FA54CE">
        <w:rPr>
          <w:rFonts w:eastAsia="Times New Roman" w:cs="Arial"/>
          <w:color w:val="000000"/>
        </w:rPr>
        <w:t>1. Mức giá cho thuê nhà ở cụ thể tại từng địa phương được xác định dựa trên giá chuẩn quy định tại mục I của Phụ lục này cùng với 04 nhóm hệ số sau đây:</w:t>
      </w:r>
    </w:p>
    <w:p w:rsidR="00FA54CE" w:rsidRPr="00FA54CE" w:rsidRDefault="00FA54CE" w:rsidP="00FA54C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bookmarkStart w:id="5" w:name="bookmark1199"/>
      <w:bookmarkEnd w:id="5"/>
      <w:r w:rsidRPr="00FA54CE">
        <w:rPr>
          <w:rFonts w:eastAsia="Times New Roman" w:cs="Arial"/>
          <w:color w:val="000000"/>
        </w:rPr>
        <w:t>a) Hệ số cấp đô thị (K</w:t>
      </w:r>
      <w:r w:rsidRPr="00FA54CE">
        <w:rPr>
          <w:rFonts w:eastAsia="Times New Roman" w:cs="Arial"/>
          <w:color w:val="000000"/>
          <w:vertAlign w:val="subscript"/>
        </w:rPr>
        <w:t>1</w:t>
      </w:r>
      <w:r w:rsidRPr="00FA54CE">
        <w:rPr>
          <w:rFonts w:eastAsia="Times New Roman" w:cs="Arial"/>
          <w:color w:val="000000"/>
        </w:rPr>
        <w:t>)</w:t>
      </w:r>
    </w:p>
    <w:p w:rsidR="00FA54CE" w:rsidRPr="00FA54CE" w:rsidRDefault="00FA54CE" w:rsidP="00FA54C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bookmarkStart w:id="6" w:name="bookmark1200"/>
      <w:bookmarkEnd w:id="6"/>
      <w:r w:rsidRPr="00FA54CE">
        <w:rPr>
          <w:rFonts w:eastAsia="Times New Roman" w:cs="Arial"/>
          <w:color w:val="000000"/>
        </w:rPr>
        <w:t>b) Hệ số vị trí xét theo các khu vực trong đô thị (K</w:t>
      </w:r>
      <w:r w:rsidRPr="00FA54CE">
        <w:rPr>
          <w:rFonts w:eastAsia="Times New Roman" w:cs="Arial"/>
          <w:color w:val="000000"/>
          <w:vertAlign w:val="subscript"/>
        </w:rPr>
        <w:t>2</w:t>
      </w:r>
      <w:r w:rsidRPr="00FA54CE">
        <w:rPr>
          <w:rFonts w:eastAsia="Times New Roman" w:cs="Arial"/>
          <w:color w:val="000000"/>
        </w:rPr>
        <w:t>)</w:t>
      </w:r>
    </w:p>
    <w:p w:rsidR="00FA54CE" w:rsidRPr="00FA54CE" w:rsidRDefault="00FA54CE" w:rsidP="00FA54C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bookmarkStart w:id="7" w:name="bookmark1201"/>
      <w:bookmarkEnd w:id="7"/>
      <w:r w:rsidRPr="00FA54CE">
        <w:rPr>
          <w:rFonts w:eastAsia="Times New Roman" w:cs="Arial"/>
          <w:color w:val="000000"/>
        </w:rPr>
        <w:t>c) Hệ số tầng cao (K</w:t>
      </w:r>
      <w:r w:rsidRPr="00FA54CE">
        <w:rPr>
          <w:rFonts w:eastAsia="Times New Roman" w:cs="Arial"/>
          <w:color w:val="000000"/>
          <w:vertAlign w:val="subscript"/>
        </w:rPr>
        <w:t>3</w:t>
      </w:r>
      <w:r w:rsidRPr="00FA54CE">
        <w:rPr>
          <w:rFonts w:eastAsia="Times New Roman" w:cs="Arial"/>
          <w:color w:val="000000"/>
        </w:rPr>
        <w:t>)</w:t>
      </w:r>
    </w:p>
    <w:p w:rsidR="00FA54CE" w:rsidRPr="00FA54CE" w:rsidRDefault="00FA54CE" w:rsidP="00FA54C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bookmarkStart w:id="8" w:name="bookmark1202"/>
      <w:bookmarkEnd w:id="8"/>
      <w:r w:rsidRPr="00FA54CE">
        <w:rPr>
          <w:rFonts w:eastAsia="Times New Roman" w:cs="Arial"/>
          <w:color w:val="000000"/>
        </w:rPr>
        <w:t>d) Hệ số điều kiện hạ tầng kỹ thuật (K</w:t>
      </w:r>
      <w:r w:rsidRPr="00FA54CE">
        <w:rPr>
          <w:rFonts w:eastAsia="Times New Roman" w:cs="Arial"/>
          <w:color w:val="000000"/>
          <w:vertAlign w:val="subscript"/>
        </w:rPr>
        <w:t>4</w:t>
      </w:r>
      <w:r w:rsidRPr="00FA54CE">
        <w:rPr>
          <w:rFonts w:eastAsia="Times New Roman" w:cs="Arial"/>
          <w:color w:val="000000"/>
        </w:rPr>
        <w:t>)</w:t>
      </w:r>
    </w:p>
    <w:p w:rsidR="00FA54CE" w:rsidRPr="00FA54CE" w:rsidRDefault="00FA54CE" w:rsidP="00FA54CE">
      <w:pPr>
        <w:shd w:val="clear" w:color="auto" w:fill="FFFFFF"/>
        <w:spacing w:before="120" w:after="0" w:line="240" w:lineRule="auto"/>
        <w:rPr>
          <w:rFonts w:eastAsia="Times New Roman" w:cs="Arial"/>
          <w:color w:val="000000"/>
        </w:rPr>
      </w:pPr>
      <w:r w:rsidRPr="00FA54CE">
        <w:rPr>
          <w:rFonts w:eastAsia="Times New Roman" w:cs="Arial"/>
          <w:color w:val="000000"/>
        </w:rPr>
        <w:t>Trị số K</w:t>
      </w:r>
      <w:r w:rsidRPr="00FA54CE">
        <w:rPr>
          <w:rFonts w:eastAsia="Times New Roman" w:cs="Arial"/>
          <w:color w:val="000000"/>
          <w:vertAlign w:val="subscript"/>
        </w:rPr>
        <w:t>1</w:t>
      </w:r>
      <w:r w:rsidRPr="00FA54CE">
        <w:rPr>
          <w:rFonts w:eastAsia="Times New Roman" w:cs="Arial"/>
          <w:color w:val="000000"/>
        </w:rPr>
        <w:t>, K</w:t>
      </w:r>
      <w:r w:rsidRPr="00FA54CE">
        <w:rPr>
          <w:rFonts w:eastAsia="Times New Roman" w:cs="Arial"/>
          <w:color w:val="000000"/>
          <w:vertAlign w:val="subscript"/>
        </w:rPr>
        <w:t>2</w:t>
      </w:r>
      <w:r w:rsidRPr="00FA54CE">
        <w:rPr>
          <w:rFonts w:eastAsia="Times New Roman" w:cs="Arial"/>
          <w:color w:val="000000"/>
        </w:rPr>
        <w:t>, K</w:t>
      </w:r>
      <w:r w:rsidRPr="00FA54CE">
        <w:rPr>
          <w:rFonts w:eastAsia="Times New Roman" w:cs="Arial"/>
          <w:color w:val="000000"/>
          <w:vertAlign w:val="subscript"/>
        </w:rPr>
        <w:t>3</w:t>
      </w:r>
      <w:r w:rsidRPr="00FA54CE">
        <w:rPr>
          <w:rFonts w:eastAsia="Times New Roman" w:cs="Arial"/>
          <w:color w:val="000000"/>
        </w:rPr>
        <w:t> và K</w:t>
      </w:r>
      <w:r w:rsidRPr="00FA54CE">
        <w:rPr>
          <w:rFonts w:eastAsia="Times New Roman" w:cs="Arial"/>
          <w:color w:val="000000"/>
          <w:vertAlign w:val="subscript"/>
        </w:rPr>
        <w:t>4</w:t>
      </w:r>
      <w:r w:rsidRPr="00FA54CE">
        <w:rPr>
          <w:rFonts w:eastAsia="Times New Roman" w:cs="Arial"/>
          <w:color w:val="000000"/>
        </w:rPr>
        <w:t> được quy định thống nhất ở các biểu số 1, 2, 3 và 4 của Thông tư này như sau:</w:t>
      </w:r>
    </w:p>
    <w:p w:rsidR="00FA54CE" w:rsidRPr="00FA54CE" w:rsidRDefault="00FA54CE" w:rsidP="00FA54CE">
      <w:pPr>
        <w:shd w:val="clear" w:color="auto" w:fill="FFFFFF"/>
        <w:spacing w:before="120" w:after="0" w:line="240" w:lineRule="auto"/>
        <w:rPr>
          <w:rFonts w:eastAsia="Times New Roman" w:cs="Arial"/>
          <w:color w:val="000000"/>
        </w:rPr>
      </w:pPr>
      <w:r w:rsidRPr="00FA54CE">
        <w:rPr>
          <w:rFonts w:eastAsia="Times New Roman" w:cs="Arial"/>
          <w:b/>
          <w:bCs/>
          <w:color w:val="000000"/>
        </w:rPr>
        <w:t>Biểu số 1:</w:t>
      </w:r>
      <w:r w:rsidRPr="00FA54CE">
        <w:rPr>
          <w:rFonts w:eastAsia="Times New Roman" w:cs="Arial"/>
          <w:color w:val="000000"/>
        </w:rPr>
        <w:t> Hệ số cấp đô thị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1252"/>
        <w:gridCol w:w="1444"/>
        <w:gridCol w:w="1252"/>
        <w:gridCol w:w="1349"/>
        <w:gridCol w:w="1541"/>
      </w:tblGrid>
      <w:tr w:rsidR="00FA54CE" w:rsidRPr="00FA54CE" w:rsidTr="00FA54CE">
        <w:trPr>
          <w:trHeight w:val="20"/>
          <w:tblCellSpacing w:w="0" w:type="dxa"/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right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Loại đô thị</w:t>
            </w:r>
          </w:p>
          <w:p w:rsidR="00FA54CE" w:rsidRPr="00FA54CE" w:rsidRDefault="00FA54CE" w:rsidP="00FA54CE">
            <w:pPr>
              <w:spacing w:before="120" w:after="0" w:line="240" w:lineRule="auto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Hệ số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Đặc biệt và loại I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II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III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IV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V</w:t>
            </w:r>
          </w:p>
        </w:tc>
      </w:tr>
      <w:tr w:rsidR="00FA54CE" w:rsidRPr="00FA54CE" w:rsidTr="00FA54CE">
        <w:trPr>
          <w:trHeight w:val="20"/>
          <w:tblCellSpacing w:w="0" w:type="dxa"/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Trị số K</w:t>
            </w:r>
            <w:r w:rsidRPr="00FA54CE">
              <w:rPr>
                <w:rFonts w:eastAsia="Times New Roman" w:cs="Arial"/>
                <w:vertAlign w:val="subscript"/>
              </w:rPr>
              <w:t>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0,00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-0,05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-0,10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-0,15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-0,20</w:t>
            </w:r>
          </w:p>
        </w:tc>
      </w:tr>
    </w:tbl>
    <w:p w:rsidR="00FA54CE" w:rsidRPr="00FA54CE" w:rsidRDefault="00FA54CE" w:rsidP="00FA54CE">
      <w:pPr>
        <w:shd w:val="clear" w:color="auto" w:fill="FFFFFF"/>
        <w:spacing w:before="120" w:after="0" w:line="240" w:lineRule="auto"/>
        <w:rPr>
          <w:rFonts w:eastAsia="Times New Roman" w:cs="Arial"/>
          <w:color w:val="000000"/>
        </w:rPr>
      </w:pPr>
      <w:r w:rsidRPr="00FA54CE">
        <w:rPr>
          <w:rFonts w:eastAsia="Times New Roman" w:cs="Arial"/>
          <w:b/>
          <w:bCs/>
          <w:color w:val="000000"/>
        </w:rPr>
        <w:t>Biểu số 2: </w:t>
      </w:r>
      <w:r w:rsidRPr="00FA54CE">
        <w:rPr>
          <w:rFonts w:eastAsia="Times New Roman" w:cs="Arial"/>
          <w:color w:val="000000"/>
        </w:rPr>
        <w:t>Hệ số vị trí xét theo khu vực (K</w:t>
      </w:r>
      <w:r w:rsidRPr="00FA54CE">
        <w:rPr>
          <w:rFonts w:eastAsia="Times New Roman" w:cs="Arial"/>
          <w:color w:val="000000"/>
          <w:vertAlign w:val="subscript"/>
        </w:rPr>
        <w:t>2</w:t>
      </w:r>
      <w:r w:rsidRPr="00FA54CE">
        <w:rPr>
          <w:rFonts w:eastAsia="Times New Roman" w:cs="Arial"/>
          <w:color w:val="000000"/>
        </w:rPr>
        <w:t>)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981"/>
        <w:gridCol w:w="1982"/>
        <w:gridCol w:w="1982"/>
      </w:tblGrid>
      <w:tr w:rsidR="00FA54CE" w:rsidRPr="00FA54CE" w:rsidTr="00FA54CE">
        <w:trPr>
          <w:trHeight w:val="20"/>
          <w:tblCellSpacing w:w="0" w:type="dxa"/>
          <w:jc w:val="center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right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Khu vực</w:t>
            </w:r>
            <w:r w:rsidRPr="00FA54CE">
              <w:rPr>
                <w:rFonts w:eastAsia="Times New Roman" w:cs="Arial"/>
                <w:b/>
                <w:bCs/>
              </w:rPr>
              <w:br/>
              <w:t>trong đô thị</w:t>
            </w:r>
          </w:p>
          <w:p w:rsidR="00FA54CE" w:rsidRPr="00FA54CE" w:rsidRDefault="00FA54CE" w:rsidP="00FA54CE">
            <w:pPr>
              <w:spacing w:before="120" w:after="0" w:line="240" w:lineRule="auto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Hệ số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Trung tâm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Cận trung tâm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  <w:b/>
                <w:bCs/>
              </w:rPr>
              <w:t>Ven nội</w:t>
            </w:r>
          </w:p>
        </w:tc>
      </w:tr>
      <w:tr w:rsidR="00FA54CE" w:rsidRPr="00FA54CE" w:rsidTr="00FA54CE">
        <w:trPr>
          <w:trHeight w:val="20"/>
          <w:tblCellSpacing w:w="0" w:type="dxa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Trị số K</w:t>
            </w:r>
            <w:r w:rsidRPr="00FA54CE">
              <w:rPr>
                <w:rFonts w:eastAsia="Times New Roman" w:cs="Arial"/>
                <w:vertAlign w:val="subscript"/>
              </w:rPr>
              <w:t>2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0,00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-0,10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Times New Roman"/>
              </w:rPr>
            </w:pPr>
            <w:r w:rsidRPr="00FA54CE">
              <w:rPr>
                <w:rFonts w:eastAsia="Times New Roman" w:cs="Arial"/>
              </w:rPr>
              <w:t>-0,20</w:t>
            </w:r>
          </w:p>
        </w:tc>
      </w:tr>
    </w:tbl>
    <w:p w:rsidR="00FA54CE" w:rsidRPr="00FA54CE" w:rsidRDefault="00FA54CE" w:rsidP="00FA54CE">
      <w:pPr>
        <w:shd w:val="clear" w:color="auto" w:fill="FFFFFF"/>
        <w:spacing w:before="120" w:after="0" w:line="240" w:lineRule="auto"/>
        <w:rPr>
          <w:rFonts w:eastAsia="Times New Roman" w:cs="Arial"/>
          <w:color w:val="000000"/>
        </w:rPr>
      </w:pPr>
      <w:r w:rsidRPr="00FA54CE">
        <w:rPr>
          <w:rFonts w:eastAsia="Times New Roman" w:cs="Arial"/>
          <w:b/>
          <w:bCs/>
          <w:color w:val="000000"/>
        </w:rPr>
        <w:t>Biểu số 3:</w:t>
      </w:r>
      <w:r w:rsidRPr="00FA54CE">
        <w:rPr>
          <w:rFonts w:eastAsia="Times New Roman" w:cs="Arial"/>
          <w:color w:val="000000"/>
        </w:rPr>
        <w:t> Hệ số tầng cao (K</w:t>
      </w:r>
      <w:r w:rsidRPr="00FA54CE">
        <w:rPr>
          <w:rFonts w:eastAsia="Times New Roman" w:cs="Arial"/>
          <w:color w:val="000000"/>
          <w:vertAlign w:val="subscript"/>
        </w:rPr>
        <w:t>3</w:t>
      </w:r>
      <w:r w:rsidRPr="00FA54CE">
        <w:rPr>
          <w:rFonts w:eastAsia="Times New Roman" w:cs="Arial"/>
          <w:color w:val="000000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169"/>
        <w:gridCol w:w="974"/>
        <w:gridCol w:w="1363"/>
        <w:gridCol w:w="1363"/>
        <w:gridCol w:w="1266"/>
        <w:gridCol w:w="1363"/>
      </w:tblGrid>
      <w:tr w:rsidR="00FA54CE" w:rsidRPr="00FA54CE" w:rsidTr="00FA54CE">
        <w:trPr>
          <w:trHeight w:val="20"/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b/>
                <w:bCs/>
                <w:color w:val="000000"/>
              </w:rPr>
              <w:t>Tầng nhà</w:t>
            </w:r>
          </w:p>
          <w:p w:rsidR="00FA54CE" w:rsidRPr="00FA54CE" w:rsidRDefault="00FA54CE" w:rsidP="00FA54CE">
            <w:pPr>
              <w:spacing w:before="120" w:after="0" w:line="240" w:lineRule="auto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b/>
                <w:bCs/>
                <w:color w:val="000000"/>
              </w:rPr>
              <w:t>Hệ số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b/>
                <w:bCs/>
                <w:color w:val="000000"/>
              </w:rPr>
              <w:t>I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b/>
                <w:bCs/>
                <w:color w:val="000000"/>
              </w:rPr>
              <w:t>II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b/>
                <w:bCs/>
                <w:color w:val="000000"/>
              </w:rPr>
              <w:t>III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b/>
                <w:bCs/>
                <w:color w:val="000000"/>
              </w:rPr>
              <w:t>IV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b/>
                <w:bCs/>
                <w:color w:val="000000"/>
              </w:rPr>
              <w:t>V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b/>
                <w:bCs/>
                <w:color w:val="000000"/>
              </w:rPr>
              <w:t>VI trở lên</w:t>
            </w:r>
          </w:p>
        </w:tc>
      </w:tr>
      <w:tr w:rsidR="00FA54CE" w:rsidRPr="00FA54CE" w:rsidTr="00FA54CE">
        <w:trPr>
          <w:trHeight w:val="20"/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Trị số K</w:t>
            </w:r>
            <w:r w:rsidRPr="00FA54CE">
              <w:rPr>
                <w:rFonts w:eastAsia="Times New Roman" w:cs="Arial"/>
                <w:color w:val="000000"/>
                <w:vertAlign w:val="subscript"/>
              </w:rPr>
              <w:t>3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+0,15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+0,05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0,00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-0,10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-0,20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-0,30</w:t>
            </w:r>
          </w:p>
        </w:tc>
      </w:tr>
    </w:tbl>
    <w:p w:rsidR="00FA54CE" w:rsidRPr="00FA54CE" w:rsidRDefault="00FA54CE" w:rsidP="00FA54CE">
      <w:pPr>
        <w:shd w:val="clear" w:color="auto" w:fill="FFFFFF"/>
        <w:spacing w:before="120" w:after="0" w:line="240" w:lineRule="auto"/>
        <w:rPr>
          <w:rFonts w:eastAsia="Times New Roman" w:cs="Arial"/>
          <w:color w:val="000000"/>
        </w:rPr>
      </w:pPr>
      <w:r w:rsidRPr="00FA54CE">
        <w:rPr>
          <w:rFonts w:eastAsia="Times New Roman" w:cs="Arial"/>
          <w:color w:val="000000"/>
        </w:rPr>
        <w:t>- Những địa phương sử dụng khái niệm tầng trệt thì tầng trệt là tầng 1 quy định trong phụ lục này.</w:t>
      </w:r>
    </w:p>
    <w:p w:rsidR="00FA54CE" w:rsidRPr="00FA54CE" w:rsidRDefault="00FA54CE" w:rsidP="00FA54C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bookmarkStart w:id="9" w:name="bookmark1188"/>
      <w:bookmarkEnd w:id="9"/>
      <w:r w:rsidRPr="00FA54CE">
        <w:rPr>
          <w:rFonts w:eastAsia="Times New Roman" w:cs="Arial"/>
          <w:color w:val="000000"/>
        </w:rPr>
        <w:t>- Việc phân cấp nhà ở để thực hiện cho thuê, bán nhà ở cũ thuộc tài sản công căn cứ vào Phụ lục số X, Phụ lục số XI kèm theo Nghị định này.</w:t>
      </w:r>
    </w:p>
    <w:p w:rsidR="00FA54CE" w:rsidRPr="00FA54CE" w:rsidRDefault="00FA54CE" w:rsidP="00FA54CE">
      <w:pPr>
        <w:shd w:val="clear" w:color="auto" w:fill="FFFFFF"/>
        <w:spacing w:before="120" w:after="0" w:line="240" w:lineRule="auto"/>
        <w:rPr>
          <w:rFonts w:eastAsia="Times New Roman" w:cs="Arial"/>
          <w:color w:val="000000"/>
        </w:rPr>
      </w:pPr>
      <w:r w:rsidRPr="00FA54CE">
        <w:rPr>
          <w:rFonts w:eastAsia="Times New Roman" w:cs="Arial"/>
          <w:b/>
          <w:bCs/>
          <w:color w:val="000000"/>
        </w:rPr>
        <w:t>Biểu số 4: </w:t>
      </w:r>
      <w:r w:rsidRPr="00FA54CE">
        <w:rPr>
          <w:rFonts w:eastAsia="Times New Roman" w:cs="Arial"/>
          <w:color w:val="000000"/>
        </w:rPr>
        <w:t>Hệ số điều kiện hạ tầng kỹ thuật (K</w:t>
      </w:r>
      <w:r w:rsidRPr="00FA54CE">
        <w:rPr>
          <w:rFonts w:eastAsia="Times New Roman" w:cs="Arial"/>
          <w:color w:val="000000"/>
          <w:vertAlign w:val="subscript"/>
        </w:rPr>
        <w:t>4</w:t>
      </w:r>
      <w:r w:rsidRPr="00FA54CE">
        <w:rPr>
          <w:rFonts w:eastAsia="Times New Roman" w:cs="Arial"/>
          <w:color w:val="000000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1811"/>
        <w:gridCol w:w="1810"/>
        <w:gridCol w:w="1905"/>
      </w:tblGrid>
      <w:tr w:rsidR="00FA54CE" w:rsidRPr="00FA54CE" w:rsidTr="00FA54CE">
        <w:trPr>
          <w:trHeight w:val="20"/>
          <w:tblCellSpacing w:w="0" w:type="dxa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b/>
                <w:bCs/>
                <w:color w:val="000000"/>
              </w:rPr>
              <w:t>ĐK hạ tầng kỹ thuật</w:t>
            </w:r>
          </w:p>
          <w:p w:rsidR="00FA54CE" w:rsidRPr="00FA54CE" w:rsidRDefault="00FA54CE" w:rsidP="00FA54CE">
            <w:pPr>
              <w:spacing w:before="120" w:after="0" w:line="240" w:lineRule="auto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b/>
                <w:bCs/>
                <w:color w:val="000000"/>
              </w:rPr>
              <w:lastRenderedPageBreak/>
              <w:t>Hệ số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b/>
                <w:bCs/>
                <w:color w:val="000000"/>
              </w:rPr>
              <w:lastRenderedPageBreak/>
              <w:t>Tốt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b/>
                <w:bCs/>
                <w:color w:val="000000"/>
              </w:rPr>
              <w:t>Trung bình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b/>
                <w:bCs/>
                <w:color w:val="000000"/>
              </w:rPr>
              <w:t>Kém</w:t>
            </w:r>
          </w:p>
        </w:tc>
      </w:tr>
      <w:tr w:rsidR="00FA54CE" w:rsidRPr="00FA54CE" w:rsidTr="00FA54CE">
        <w:trPr>
          <w:trHeight w:val="20"/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lastRenderedPageBreak/>
              <w:t>Trị số K</w:t>
            </w:r>
            <w:r w:rsidRPr="00FA54CE">
              <w:rPr>
                <w:rFonts w:eastAsia="Times New Roman" w:cs="Arial"/>
                <w:color w:val="000000"/>
                <w:vertAlign w:val="subscript"/>
              </w:rPr>
              <w:t>4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0,00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-0,10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-0,20</w:t>
            </w:r>
          </w:p>
        </w:tc>
      </w:tr>
    </w:tbl>
    <w:p w:rsidR="00FA54CE" w:rsidRPr="00FA54CE" w:rsidRDefault="00FA54CE" w:rsidP="00FA54CE">
      <w:pPr>
        <w:shd w:val="clear" w:color="auto" w:fill="FFFFFF"/>
        <w:spacing w:before="120" w:after="0" w:line="240" w:lineRule="auto"/>
        <w:rPr>
          <w:rFonts w:eastAsia="Times New Roman" w:cs="Arial"/>
          <w:color w:val="000000"/>
        </w:rPr>
      </w:pPr>
      <w:r w:rsidRPr="00FA54CE">
        <w:rPr>
          <w:rFonts w:eastAsia="Times New Roman" w:cs="Arial"/>
          <w:color w:val="000000"/>
        </w:rPr>
        <w:t>Các điều kiện hạ tầng kỹ thuật chủ yếu (gắn liền với nhà ở) để đánh giá nhà ở bao gồm: Điều kiện giao thông, điều kiện vệ sinh của nhà ở, điều kiện hệ thống cấp thoát nước, cụ thể:</w:t>
      </w:r>
    </w:p>
    <w:p w:rsidR="00FA54CE" w:rsidRPr="00FA54CE" w:rsidRDefault="00FA54CE" w:rsidP="00FA54CE">
      <w:pPr>
        <w:shd w:val="clear" w:color="auto" w:fill="FFFFFF"/>
        <w:spacing w:before="120" w:after="0" w:line="240" w:lineRule="auto"/>
        <w:rPr>
          <w:rFonts w:eastAsia="Times New Roman" w:cs="Arial"/>
          <w:color w:val="000000"/>
        </w:rPr>
      </w:pPr>
      <w:r w:rsidRPr="00FA54CE">
        <w:rPr>
          <w:rFonts w:eastAsia="Times New Roman" w:cs="Arial"/>
          <w:color w:val="000000"/>
        </w:rPr>
        <w:t>- Điều kiện hạ tầng kỹ thuật đạt loại tốt khi đảm bảo cả ba điều kiện sau:</w:t>
      </w:r>
    </w:p>
    <w:p w:rsidR="00FA54CE" w:rsidRPr="00FA54CE" w:rsidRDefault="00FA54CE" w:rsidP="00FA54CE">
      <w:pPr>
        <w:shd w:val="clear" w:color="auto" w:fill="FFFFFF"/>
        <w:spacing w:before="120" w:after="0" w:line="240" w:lineRule="auto"/>
        <w:rPr>
          <w:rFonts w:eastAsia="Times New Roman" w:cs="Arial"/>
          <w:color w:val="000000"/>
        </w:rPr>
      </w:pPr>
      <w:r w:rsidRPr="00FA54CE">
        <w:rPr>
          <w:rFonts w:eastAsia="Times New Roman" w:cs="Arial"/>
          <w:color w:val="000000"/>
        </w:rPr>
        <w:t>+ Điều kiện 1: nhà ở có đường cho ô tô đến tận ngôi nhà;</w:t>
      </w:r>
    </w:p>
    <w:p w:rsidR="00FA54CE" w:rsidRPr="00FA54CE" w:rsidRDefault="00FA54CE" w:rsidP="00FA54CE">
      <w:pPr>
        <w:shd w:val="clear" w:color="auto" w:fill="FFFFFF"/>
        <w:spacing w:before="120" w:after="0" w:line="240" w:lineRule="auto"/>
        <w:rPr>
          <w:rFonts w:eastAsia="Times New Roman" w:cs="Arial"/>
          <w:color w:val="000000"/>
        </w:rPr>
      </w:pPr>
      <w:r w:rsidRPr="00FA54CE">
        <w:rPr>
          <w:rFonts w:eastAsia="Times New Roman" w:cs="Arial"/>
          <w:color w:val="000000"/>
        </w:rPr>
        <w:t>+ Điều kiện 2: có khu vệ sinh khép kín;</w:t>
      </w:r>
    </w:p>
    <w:p w:rsidR="00FA54CE" w:rsidRPr="00FA54CE" w:rsidRDefault="00FA54CE" w:rsidP="00FA54CE">
      <w:pPr>
        <w:shd w:val="clear" w:color="auto" w:fill="FFFFFF"/>
        <w:spacing w:before="120" w:after="0" w:line="240" w:lineRule="auto"/>
        <w:rPr>
          <w:rFonts w:eastAsia="Times New Roman" w:cs="Arial"/>
          <w:color w:val="000000"/>
        </w:rPr>
      </w:pPr>
      <w:r w:rsidRPr="00FA54CE">
        <w:rPr>
          <w:rFonts w:eastAsia="Times New Roman" w:cs="Arial"/>
          <w:color w:val="000000"/>
        </w:rPr>
        <w:t>+ Điều kiện 3: có hệ thống cấp thoát nước hoạt động bình thường.</w:t>
      </w:r>
    </w:p>
    <w:p w:rsidR="00FA54CE" w:rsidRPr="00FA54CE" w:rsidRDefault="00FA54CE" w:rsidP="00FA54C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bookmarkStart w:id="10" w:name="bookmark1203"/>
      <w:bookmarkEnd w:id="10"/>
      <w:r w:rsidRPr="00FA54CE">
        <w:rPr>
          <w:rFonts w:eastAsia="Times New Roman" w:cs="Arial"/>
          <w:color w:val="000000"/>
        </w:rPr>
        <w:t>- Điều kiện hạ tầng kỹ thuật đạt loại trung bình khi chỉ đảm bảo điều kiện 1 hoặc có đủ điều kiện 2 và 3.</w:t>
      </w:r>
    </w:p>
    <w:p w:rsidR="00FA54CE" w:rsidRPr="00FA54CE" w:rsidRDefault="00FA54CE" w:rsidP="00FA54C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bookmarkStart w:id="11" w:name="bookmark1204"/>
      <w:bookmarkEnd w:id="11"/>
      <w:r w:rsidRPr="00FA54CE">
        <w:rPr>
          <w:rFonts w:eastAsia="Times New Roman" w:cs="Arial"/>
          <w:color w:val="000000"/>
        </w:rPr>
        <w:t>- Điều kiện hạ tầng kỹ thuật đạt loại kém khi nhà ở chỉ có điều kiện 2 hoặc điều kiện 3 hoặc không đảm bảo cả 3 điều kiện trên.</w:t>
      </w:r>
    </w:p>
    <w:p w:rsidR="00FA54CE" w:rsidRPr="00FA54CE" w:rsidRDefault="00FA54CE" w:rsidP="00FA54C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bookmarkStart w:id="12" w:name="bookmark1205"/>
      <w:bookmarkEnd w:id="12"/>
      <w:r w:rsidRPr="00FA54CE">
        <w:rPr>
          <w:rFonts w:eastAsia="Times New Roman" w:cs="Arial"/>
          <w:color w:val="000000"/>
        </w:rPr>
        <w:t>2. Nguyên tắc áp dụng các hệ số</w:t>
      </w:r>
    </w:p>
    <w:p w:rsidR="00FA54CE" w:rsidRPr="00FA54CE" w:rsidRDefault="00FA54CE" w:rsidP="00FA54CE">
      <w:pPr>
        <w:shd w:val="clear" w:color="auto" w:fill="FFFFFF"/>
        <w:spacing w:before="120" w:after="0" w:line="240" w:lineRule="auto"/>
        <w:rPr>
          <w:rFonts w:eastAsia="Times New Roman" w:cs="Arial"/>
          <w:color w:val="000000"/>
        </w:rPr>
      </w:pPr>
      <w:r w:rsidRPr="00FA54CE">
        <w:rPr>
          <w:rFonts w:eastAsia="Times New Roman" w:cs="Arial"/>
          <w:color w:val="000000"/>
        </w:rPr>
        <w:t>Biệt thự các hạng và nhà ở các cấp áp dụng tối đa không vượt quá 4 hệ số đã quy định trên đây, dấu (+) tăng thêm, dấu (-) giảm đi.</w:t>
      </w:r>
    </w:p>
    <w:p w:rsidR="00FA54CE" w:rsidRPr="00FA54CE" w:rsidRDefault="00FA54CE" w:rsidP="00FA54C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bookmarkStart w:id="13" w:name="bookmark1206"/>
      <w:bookmarkEnd w:id="13"/>
      <w:r w:rsidRPr="00FA54CE">
        <w:rPr>
          <w:rFonts w:eastAsia="Times New Roman" w:cs="Arial"/>
          <w:color w:val="000000"/>
        </w:rPr>
        <w:t>3. Đơn giá cho thuê 1 m</w:t>
      </w:r>
      <w:r w:rsidRPr="00FA54CE">
        <w:rPr>
          <w:rFonts w:eastAsia="Times New Roman" w:cs="Arial"/>
          <w:color w:val="000000"/>
          <w:vertAlign w:val="superscript"/>
        </w:rPr>
        <w:t>2</w:t>
      </w:r>
      <w:r w:rsidRPr="00FA54CE">
        <w:rPr>
          <w:rFonts w:eastAsia="Times New Roman" w:cs="Arial"/>
          <w:color w:val="000000"/>
        </w:rPr>
        <w:t> diện tích sử dụng nhà ở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2390"/>
        <w:gridCol w:w="955"/>
        <w:gridCol w:w="2196"/>
        <w:gridCol w:w="1909"/>
      </w:tblGrid>
      <w:tr w:rsidR="00FA54CE" w:rsidRPr="00FA54CE" w:rsidTr="00FA54CE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Giá cho thuê nhà ở (biệt thự hoặc nhà ở các cấp) =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Giá chuẩn của cấp, hạng nhà ở tương ứng (quy định tại mục I Phụ lục này)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x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1+ tổng các hệ số áp dụng theo điều kiện nhà ở cho thuê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đồng/m</w:t>
            </w:r>
            <w:r w:rsidRPr="00FA54CE">
              <w:rPr>
                <w:rFonts w:eastAsia="Times New Roman" w:cs="Arial"/>
                <w:color w:val="000000"/>
                <w:vertAlign w:val="superscript"/>
              </w:rPr>
              <w:t>2</w:t>
            </w:r>
            <w:r w:rsidRPr="00FA54CE">
              <w:rPr>
                <w:rFonts w:eastAsia="Times New Roman" w:cs="Arial"/>
                <w:color w:val="000000"/>
              </w:rPr>
              <w:t> sử</w:t>
            </w:r>
            <w:r w:rsidRPr="00FA54CE">
              <w:rPr>
                <w:rFonts w:eastAsia="Times New Roman" w:cs="Arial"/>
                <w:color w:val="000000"/>
              </w:rPr>
              <w:br/>
              <w:t>dụng/tháng</w:t>
            </w:r>
          </w:p>
        </w:tc>
      </w:tr>
    </w:tbl>
    <w:p w:rsidR="00FA54CE" w:rsidRPr="00FA54CE" w:rsidRDefault="00FA54CE" w:rsidP="00FA54CE">
      <w:pPr>
        <w:shd w:val="clear" w:color="auto" w:fill="FFFFFF"/>
        <w:spacing w:before="120" w:after="0" w:line="240" w:lineRule="auto"/>
        <w:rPr>
          <w:rFonts w:eastAsia="Times New Roman" w:cs="Arial"/>
          <w:color w:val="000000"/>
        </w:rPr>
      </w:pPr>
      <w:r w:rsidRPr="00FA54CE">
        <w:rPr>
          <w:rFonts w:eastAsia="Times New Roman" w:cs="Arial"/>
          <w:color w:val="000000"/>
        </w:rPr>
        <w:t>4. Tiền thuê nhà phải trả hàng tháng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2894"/>
        <w:gridCol w:w="869"/>
        <w:gridCol w:w="2991"/>
      </w:tblGrid>
      <w:tr w:rsidR="00FA54CE" w:rsidRPr="00FA54CE" w:rsidTr="00FA54CE">
        <w:trPr>
          <w:tblCellSpacing w:w="0" w:type="dxa"/>
        </w:trPr>
        <w:tc>
          <w:tcPr>
            <w:tcW w:w="1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Tiền thuê phải trả cho toàn bộ diện tích sử dụng = tổng số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Giá cho thuê 1 m</w:t>
            </w:r>
            <w:r w:rsidRPr="00FA54CE">
              <w:rPr>
                <w:rFonts w:eastAsia="Times New Roman" w:cs="Arial"/>
                <w:color w:val="000000"/>
                <w:vertAlign w:val="superscript"/>
              </w:rPr>
              <w:t>2</w:t>
            </w:r>
            <w:r w:rsidRPr="00FA54CE">
              <w:rPr>
                <w:rFonts w:eastAsia="Times New Roman" w:cs="Arial"/>
                <w:color w:val="000000"/>
              </w:rPr>
              <w:t> sử dụng tính theo quy định tại điểm 3 Mục II của Phụ lục này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x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4CE" w:rsidRPr="00FA54CE" w:rsidRDefault="00FA54CE" w:rsidP="00FA54CE">
            <w:pPr>
              <w:spacing w:before="12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A54CE">
              <w:rPr>
                <w:rFonts w:eastAsia="Times New Roman" w:cs="Arial"/>
                <w:color w:val="000000"/>
              </w:rPr>
              <w:t>Diện tích sử dụng từng loại nhà tương ứng với giá cho thuê</w:t>
            </w:r>
          </w:p>
        </w:tc>
      </w:tr>
    </w:tbl>
    <w:p w:rsidR="005C1D3D" w:rsidRPr="00FA54CE" w:rsidRDefault="005C1D3D"/>
    <w:sectPr w:rsidR="005C1D3D" w:rsidRPr="00FA54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CE"/>
    <w:rsid w:val="005C1D3D"/>
    <w:rsid w:val="00FA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F373A2-90EB-4CA1-914E-A8C491CA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2024-07-31T01:09:00Z</dcterms:created>
  <dcterms:modified xsi:type="dcterms:W3CDTF">2024-07-31T01:10:00Z</dcterms:modified>
</cp:coreProperties>
</file>