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0C6CFC" w:rsidRPr="000C6CFC" w:rsidRDefault="000C6CFC" w:rsidP="000C6CFC">
      <w:pPr>
        <w:shd w:val="clear" w:color="auto" w:fill="FFFFFF"/>
        <w:spacing w:before="120" w:after="0" w:line="240" w:lineRule="auto"/>
        <w:ind w:firstLine="0"/>
        <w:jc w:val="center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0C6CFC">
        <w:rPr>
          <w:rFonts w:ascii="Arial" w:eastAsia="Times New Roman" w:hAnsi="Arial" w:cs="Arial"/>
          <w:b/>
          <w:bCs/>
          <w:color w:val="000000"/>
          <w:kern w:val="0"/>
          <w:szCs w:val="24"/>
          <w14:ligatures w14:val="none"/>
        </w:rPr>
        <w:t>PHỤ LỤC VI</w:t>
      </w:r>
    </w:p>
    <w:p w:rsidR="000C6CFC" w:rsidRPr="000C6CFC" w:rsidRDefault="000C6CFC" w:rsidP="000C6CFC">
      <w:pPr>
        <w:shd w:val="clear" w:color="auto" w:fill="FFFFFF"/>
        <w:spacing w:before="120" w:after="0" w:line="240" w:lineRule="auto"/>
        <w:ind w:firstLine="0"/>
        <w:jc w:val="center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0C6CFC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BẢNG GIÁ CHUẨN THUÊ NHÀ Ở CŨ THUỘC TÀI SẢN CÔNG</w:t>
      </w:r>
      <w:r w:rsidRPr="000C6CFC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br/>
      </w:r>
      <w:r w:rsidRPr="000C6CFC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14:ligatures w14:val="none"/>
        </w:rPr>
        <w:t>(Kèm theo Nghị định số 95/2024/NĐ-CP ngày 24 tháng 7 năm 2024 của Chính phủ)</w:t>
      </w:r>
    </w:p>
    <w:p w:rsidR="000C6CFC" w:rsidRPr="000C6CFC" w:rsidRDefault="000C6CFC" w:rsidP="000C6CFC">
      <w:pPr>
        <w:shd w:val="clear" w:color="auto" w:fill="FFFFFF"/>
        <w:spacing w:after="0" w:line="240" w:lineRule="auto"/>
        <w:ind w:firstLine="0"/>
        <w:jc w:val="lef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bookmarkStart w:id="0" w:name="bookmark1197"/>
      <w:bookmarkStart w:id="1" w:name="bookmark1196"/>
      <w:bookmarkStart w:id="2" w:name="bookmark1195"/>
      <w:bookmarkEnd w:id="0"/>
      <w:bookmarkEnd w:id="1"/>
      <w:r w:rsidRPr="000C6CFC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I. Bảng giá chuẩn cho thuê nhà ở cũ thuộc tài sản công mà chưa được cải tạo, xây dựng lại được quy định như sau:</w:t>
      </w:r>
      <w:bookmarkEnd w:id="2"/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5"/>
        <w:gridCol w:w="924"/>
        <w:gridCol w:w="924"/>
        <w:gridCol w:w="832"/>
        <w:gridCol w:w="1016"/>
        <w:gridCol w:w="831"/>
        <w:gridCol w:w="831"/>
        <w:gridCol w:w="831"/>
        <w:gridCol w:w="1108"/>
      </w:tblGrid>
      <w:tr w:rsidR="000C6CFC" w:rsidRPr="000C6CFC" w:rsidTr="000C6CFC">
        <w:trPr>
          <w:trHeight w:val="20"/>
          <w:tblCellSpacing w:w="0" w:type="dxa"/>
          <w:jc w:val="center"/>
        </w:trPr>
        <w:tc>
          <w:tcPr>
            <w:tcW w:w="9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C6CFC" w:rsidRPr="000C6CFC" w:rsidRDefault="000C6CFC" w:rsidP="000C6CFC">
            <w:pPr>
              <w:spacing w:before="120" w:after="0" w:line="240" w:lineRule="auto"/>
              <w:ind w:firstLine="0"/>
              <w:jc w:val="center"/>
              <w:rPr>
                <w:rFonts w:eastAsia="Times New Roman" w:cs="Times New Roman"/>
                <w:kern w:val="0"/>
                <w:szCs w:val="24"/>
                <w14:ligatures w14:val="none"/>
              </w:rPr>
            </w:pPr>
            <w:r w:rsidRPr="000C6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Loại nhà</w:t>
            </w:r>
          </w:p>
        </w:tc>
        <w:tc>
          <w:tcPr>
            <w:tcW w:w="200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C6CFC" w:rsidRPr="000C6CFC" w:rsidRDefault="000C6CFC" w:rsidP="000C6CFC">
            <w:pPr>
              <w:spacing w:before="120" w:after="0" w:line="240" w:lineRule="auto"/>
              <w:ind w:firstLine="0"/>
              <w:jc w:val="center"/>
              <w:rPr>
                <w:rFonts w:eastAsia="Times New Roman" w:cs="Times New Roman"/>
                <w:kern w:val="0"/>
                <w:szCs w:val="24"/>
                <w14:ligatures w14:val="none"/>
              </w:rPr>
            </w:pPr>
            <w:r w:rsidRPr="000C6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Biệt thự (hạng)</w:t>
            </w:r>
          </w:p>
        </w:tc>
        <w:tc>
          <w:tcPr>
            <w:tcW w:w="19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C6CFC" w:rsidRPr="000C6CFC" w:rsidRDefault="000C6CFC" w:rsidP="000C6CFC">
            <w:pPr>
              <w:spacing w:before="120" w:after="0" w:line="240" w:lineRule="auto"/>
              <w:ind w:firstLine="0"/>
              <w:jc w:val="center"/>
              <w:rPr>
                <w:rFonts w:eastAsia="Times New Roman" w:cs="Times New Roman"/>
                <w:kern w:val="0"/>
                <w:szCs w:val="24"/>
                <w14:ligatures w14:val="none"/>
              </w:rPr>
            </w:pPr>
            <w:r w:rsidRPr="000C6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Nhà ở thông thường (cấp)</w:t>
            </w:r>
          </w:p>
        </w:tc>
      </w:tr>
      <w:tr w:rsidR="000C6CFC" w:rsidRPr="000C6CFC" w:rsidTr="000C6CFC">
        <w:trPr>
          <w:trHeight w:val="20"/>
          <w:tblCellSpacing w:w="0" w:type="dxa"/>
          <w:jc w:val="center"/>
        </w:trPr>
        <w:tc>
          <w:tcPr>
            <w:tcW w:w="9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C6CFC" w:rsidRPr="000C6CFC" w:rsidRDefault="000C6CFC" w:rsidP="000C6CFC">
            <w:pPr>
              <w:spacing w:before="120" w:after="0" w:line="240" w:lineRule="auto"/>
              <w:ind w:firstLine="0"/>
              <w:jc w:val="center"/>
              <w:rPr>
                <w:rFonts w:eastAsia="Times New Roman" w:cs="Times New Roman"/>
                <w:kern w:val="0"/>
                <w:szCs w:val="24"/>
                <w14:ligatures w14:val="none"/>
              </w:rPr>
            </w:pPr>
            <w:r w:rsidRPr="000C6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Cấp, hạng nhà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C6CFC" w:rsidRPr="000C6CFC" w:rsidRDefault="000C6CFC" w:rsidP="000C6CFC">
            <w:pPr>
              <w:spacing w:before="120" w:after="0" w:line="240" w:lineRule="auto"/>
              <w:ind w:firstLine="0"/>
              <w:jc w:val="center"/>
              <w:rPr>
                <w:rFonts w:eastAsia="Times New Roman" w:cs="Times New Roman"/>
                <w:kern w:val="0"/>
                <w:szCs w:val="24"/>
                <w14:ligatures w14:val="none"/>
              </w:rPr>
            </w:pPr>
            <w:r w:rsidRPr="000C6CFC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I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C6CFC" w:rsidRPr="000C6CFC" w:rsidRDefault="000C6CFC" w:rsidP="000C6CFC">
            <w:pPr>
              <w:spacing w:before="120" w:after="0" w:line="240" w:lineRule="auto"/>
              <w:ind w:firstLine="0"/>
              <w:jc w:val="center"/>
              <w:rPr>
                <w:rFonts w:eastAsia="Times New Roman" w:cs="Times New Roman"/>
                <w:kern w:val="0"/>
                <w:szCs w:val="24"/>
                <w14:ligatures w14:val="none"/>
              </w:rPr>
            </w:pPr>
            <w:r w:rsidRPr="000C6CFC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II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C6CFC" w:rsidRPr="000C6CFC" w:rsidRDefault="000C6CFC" w:rsidP="000C6CFC">
            <w:pPr>
              <w:spacing w:before="120" w:after="0" w:line="240" w:lineRule="auto"/>
              <w:ind w:firstLine="0"/>
              <w:jc w:val="center"/>
              <w:rPr>
                <w:rFonts w:eastAsia="Times New Roman" w:cs="Times New Roman"/>
                <w:kern w:val="0"/>
                <w:szCs w:val="24"/>
                <w14:ligatures w14:val="none"/>
              </w:rPr>
            </w:pPr>
            <w:r w:rsidRPr="000C6CFC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III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C6CFC" w:rsidRPr="000C6CFC" w:rsidRDefault="000C6CFC" w:rsidP="000C6CFC">
            <w:pPr>
              <w:spacing w:before="120" w:after="0" w:line="240" w:lineRule="auto"/>
              <w:ind w:firstLine="0"/>
              <w:jc w:val="center"/>
              <w:rPr>
                <w:rFonts w:eastAsia="Times New Roman" w:cs="Times New Roman"/>
                <w:kern w:val="0"/>
                <w:szCs w:val="24"/>
                <w14:ligatures w14:val="none"/>
              </w:rPr>
            </w:pPr>
            <w:r w:rsidRPr="000C6CFC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IV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C6CFC" w:rsidRPr="000C6CFC" w:rsidRDefault="000C6CFC" w:rsidP="000C6CFC">
            <w:pPr>
              <w:spacing w:before="120" w:after="0" w:line="240" w:lineRule="auto"/>
              <w:ind w:firstLine="0"/>
              <w:jc w:val="center"/>
              <w:rPr>
                <w:rFonts w:eastAsia="Times New Roman" w:cs="Times New Roman"/>
                <w:kern w:val="0"/>
                <w:szCs w:val="24"/>
                <w14:ligatures w14:val="none"/>
              </w:rPr>
            </w:pPr>
            <w:r w:rsidRPr="000C6CFC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I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C6CFC" w:rsidRPr="000C6CFC" w:rsidRDefault="000C6CFC" w:rsidP="000C6CFC">
            <w:pPr>
              <w:spacing w:before="120" w:after="0" w:line="240" w:lineRule="auto"/>
              <w:ind w:firstLine="0"/>
              <w:jc w:val="center"/>
              <w:rPr>
                <w:rFonts w:eastAsia="Times New Roman" w:cs="Times New Roman"/>
                <w:kern w:val="0"/>
                <w:szCs w:val="24"/>
                <w14:ligatures w14:val="none"/>
              </w:rPr>
            </w:pPr>
            <w:r w:rsidRPr="000C6CFC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II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C6CFC" w:rsidRPr="000C6CFC" w:rsidRDefault="000C6CFC" w:rsidP="000C6CFC">
            <w:pPr>
              <w:spacing w:before="120" w:after="0" w:line="240" w:lineRule="auto"/>
              <w:ind w:firstLine="0"/>
              <w:jc w:val="center"/>
              <w:rPr>
                <w:rFonts w:eastAsia="Times New Roman" w:cs="Times New Roman"/>
                <w:kern w:val="0"/>
                <w:szCs w:val="24"/>
                <w14:ligatures w14:val="none"/>
              </w:rPr>
            </w:pPr>
            <w:r w:rsidRPr="000C6CFC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III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C6CFC" w:rsidRPr="000C6CFC" w:rsidRDefault="000C6CFC" w:rsidP="000C6CFC">
            <w:pPr>
              <w:spacing w:before="120" w:after="0" w:line="240" w:lineRule="auto"/>
              <w:ind w:firstLine="0"/>
              <w:jc w:val="center"/>
              <w:rPr>
                <w:rFonts w:eastAsia="Times New Roman" w:cs="Times New Roman"/>
                <w:kern w:val="0"/>
                <w:szCs w:val="24"/>
                <w14:ligatures w14:val="none"/>
              </w:rPr>
            </w:pPr>
            <w:r w:rsidRPr="000C6CFC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IV</w:t>
            </w:r>
          </w:p>
        </w:tc>
      </w:tr>
      <w:tr w:rsidR="000C6CFC" w:rsidRPr="000C6CFC" w:rsidTr="000C6CFC">
        <w:trPr>
          <w:trHeight w:val="20"/>
          <w:tblCellSpacing w:w="0" w:type="dxa"/>
          <w:jc w:val="center"/>
        </w:trPr>
        <w:tc>
          <w:tcPr>
            <w:tcW w:w="9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C6CFC" w:rsidRPr="000C6CFC" w:rsidRDefault="000C6CFC" w:rsidP="000C6CFC">
            <w:pPr>
              <w:spacing w:before="120" w:after="0" w:line="240" w:lineRule="auto"/>
              <w:ind w:firstLine="0"/>
              <w:jc w:val="center"/>
              <w:rPr>
                <w:rFonts w:eastAsia="Times New Roman" w:cs="Times New Roman"/>
                <w:kern w:val="0"/>
                <w:szCs w:val="24"/>
                <w14:ligatures w14:val="none"/>
              </w:rPr>
            </w:pPr>
            <w:r w:rsidRPr="000C6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Giá (đồng/m</w:t>
            </w:r>
            <w:r w:rsidRPr="000C6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vertAlign w:val="superscript"/>
                <w14:ligatures w14:val="none"/>
              </w:rPr>
              <w:t>2 </w:t>
            </w:r>
            <w:r w:rsidRPr="000C6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sử dụng/tháng)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C6CFC" w:rsidRPr="000C6CFC" w:rsidRDefault="000C6CFC" w:rsidP="000C6CFC">
            <w:pPr>
              <w:spacing w:before="120" w:after="0" w:line="240" w:lineRule="auto"/>
              <w:ind w:firstLine="0"/>
              <w:jc w:val="center"/>
              <w:rPr>
                <w:rFonts w:eastAsia="Times New Roman" w:cs="Times New Roman"/>
                <w:kern w:val="0"/>
                <w:szCs w:val="24"/>
                <w14:ligatures w14:val="none"/>
              </w:rPr>
            </w:pPr>
            <w:r w:rsidRPr="000C6CFC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11.300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C6CFC" w:rsidRPr="000C6CFC" w:rsidRDefault="000C6CFC" w:rsidP="000C6CFC">
            <w:pPr>
              <w:spacing w:before="120" w:after="0" w:line="240" w:lineRule="auto"/>
              <w:ind w:firstLine="0"/>
              <w:jc w:val="center"/>
              <w:rPr>
                <w:rFonts w:eastAsia="Times New Roman" w:cs="Times New Roman"/>
                <w:kern w:val="0"/>
                <w:szCs w:val="24"/>
                <w14:ligatures w14:val="none"/>
              </w:rPr>
            </w:pPr>
            <w:r w:rsidRPr="000C6CFC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13.500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C6CFC" w:rsidRPr="000C6CFC" w:rsidRDefault="000C6CFC" w:rsidP="000C6CFC">
            <w:pPr>
              <w:spacing w:before="120" w:after="0" w:line="240" w:lineRule="auto"/>
              <w:ind w:firstLine="0"/>
              <w:jc w:val="center"/>
              <w:rPr>
                <w:rFonts w:eastAsia="Times New Roman" w:cs="Times New Roman"/>
                <w:kern w:val="0"/>
                <w:szCs w:val="24"/>
                <w14:ligatures w14:val="none"/>
              </w:rPr>
            </w:pPr>
            <w:r w:rsidRPr="000C6CFC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15.800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C6CFC" w:rsidRPr="000C6CFC" w:rsidRDefault="000C6CFC" w:rsidP="000C6CFC">
            <w:pPr>
              <w:spacing w:before="120" w:after="0" w:line="240" w:lineRule="auto"/>
              <w:ind w:firstLine="0"/>
              <w:jc w:val="center"/>
              <w:rPr>
                <w:rFonts w:eastAsia="Times New Roman" w:cs="Times New Roman"/>
                <w:kern w:val="0"/>
                <w:szCs w:val="24"/>
                <w14:ligatures w14:val="none"/>
              </w:rPr>
            </w:pPr>
            <w:r w:rsidRPr="000C6CFC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24.800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C6CFC" w:rsidRPr="000C6CFC" w:rsidRDefault="000C6CFC" w:rsidP="000C6CFC">
            <w:pPr>
              <w:spacing w:before="120" w:after="0" w:line="240" w:lineRule="auto"/>
              <w:ind w:firstLine="0"/>
              <w:jc w:val="center"/>
              <w:rPr>
                <w:rFonts w:eastAsia="Times New Roman" w:cs="Times New Roman"/>
                <w:kern w:val="0"/>
                <w:szCs w:val="24"/>
                <w14:ligatures w14:val="none"/>
              </w:rPr>
            </w:pPr>
            <w:r w:rsidRPr="000C6CFC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6.800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C6CFC" w:rsidRPr="000C6CFC" w:rsidRDefault="000C6CFC" w:rsidP="000C6CFC">
            <w:pPr>
              <w:spacing w:before="120" w:after="0" w:line="240" w:lineRule="auto"/>
              <w:ind w:firstLine="0"/>
              <w:jc w:val="center"/>
              <w:rPr>
                <w:rFonts w:eastAsia="Times New Roman" w:cs="Times New Roman"/>
                <w:kern w:val="0"/>
                <w:szCs w:val="24"/>
                <w14:ligatures w14:val="none"/>
              </w:rPr>
            </w:pPr>
            <w:r w:rsidRPr="000C6CFC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6.300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C6CFC" w:rsidRPr="000C6CFC" w:rsidRDefault="000C6CFC" w:rsidP="000C6CFC">
            <w:pPr>
              <w:spacing w:before="120" w:after="0" w:line="240" w:lineRule="auto"/>
              <w:ind w:firstLine="0"/>
              <w:jc w:val="center"/>
              <w:rPr>
                <w:rFonts w:eastAsia="Times New Roman" w:cs="Times New Roman"/>
                <w:kern w:val="0"/>
                <w:szCs w:val="24"/>
                <w14:ligatures w14:val="none"/>
              </w:rPr>
            </w:pPr>
            <w:r w:rsidRPr="000C6CFC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6.100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C6CFC" w:rsidRPr="000C6CFC" w:rsidRDefault="000C6CFC" w:rsidP="000C6CFC">
            <w:pPr>
              <w:spacing w:before="120" w:after="0" w:line="240" w:lineRule="auto"/>
              <w:ind w:firstLine="0"/>
              <w:jc w:val="center"/>
              <w:rPr>
                <w:rFonts w:eastAsia="Times New Roman" w:cs="Times New Roman"/>
                <w:kern w:val="0"/>
                <w:szCs w:val="24"/>
                <w14:ligatures w14:val="none"/>
              </w:rPr>
            </w:pPr>
            <w:r w:rsidRPr="000C6CFC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4.100</w:t>
            </w:r>
          </w:p>
        </w:tc>
      </w:tr>
    </w:tbl>
    <w:p w:rsidR="000C6CFC" w:rsidRPr="000C6CFC" w:rsidRDefault="000C6CFC" w:rsidP="000C6CFC">
      <w:pPr>
        <w:shd w:val="clear" w:color="auto" w:fill="FFFFFF"/>
        <w:spacing w:before="120" w:after="0" w:line="240" w:lineRule="auto"/>
        <w:ind w:firstLine="0"/>
        <w:jc w:val="lef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0C6CFC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Việc xác định cấp, hạng nhà ở thực hiện theo quy định tại Điều 72 của Nghị định này.</w:t>
      </w:r>
    </w:p>
    <w:p w:rsidR="000C6CFC" w:rsidRPr="000C6CFC" w:rsidRDefault="000C6CFC" w:rsidP="000C6CFC">
      <w:pPr>
        <w:shd w:val="clear" w:color="auto" w:fill="FFFFFF"/>
        <w:spacing w:before="120" w:after="0" w:line="240" w:lineRule="auto"/>
        <w:ind w:firstLine="0"/>
        <w:jc w:val="lef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0C6CFC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14:ligatures w14:val="none"/>
        </w:rPr>
        <w:t>II. Hệ số điều chỉnh giá chuẩn áp dụng để xác định mức giá cho thuê nhà ở</w:t>
      </w:r>
    </w:p>
    <w:p w:rsidR="000C6CFC" w:rsidRPr="000C6CFC" w:rsidRDefault="000C6CFC" w:rsidP="000C6CFC">
      <w:pPr>
        <w:shd w:val="clear" w:color="auto" w:fill="FFFFFF"/>
        <w:spacing w:after="0" w:line="240" w:lineRule="auto"/>
        <w:ind w:firstLine="0"/>
        <w:jc w:val="lef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bookmarkStart w:id="3" w:name="bookmark1198"/>
      <w:bookmarkEnd w:id="3"/>
      <w:r w:rsidRPr="000C6CFC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1. Mức giá cho thuê nhà ở cụ thể tại từng địa phương được xác định dựa trên giá chuẩn quy định tại mục I của Phụ lục này cùng với 04 nhóm hệ số sau đây:</w:t>
      </w:r>
    </w:p>
    <w:p w:rsidR="000C6CFC" w:rsidRPr="000C6CFC" w:rsidRDefault="000C6CFC" w:rsidP="000C6CFC">
      <w:pPr>
        <w:shd w:val="clear" w:color="auto" w:fill="FFFFFF"/>
        <w:spacing w:after="0" w:line="240" w:lineRule="auto"/>
        <w:ind w:firstLine="0"/>
        <w:jc w:val="lef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bookmarkStart w:id="4" w:name="bookmark1199"/>
      <w:bookmarkEnd w:id="4"/>
      <w:r w:rsidRPr="000C6CFC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a) Hệ số cấp đô thị (K</w:t>
      </w:r>
      <w:r w:rsidRPr="000C6CFC">
        <w:rPr>
          <w:rFonts w:ascii="Arial" w:eastAsia="Times New Roman" w:hAnsi="Arial" w:cs="Arial"/>
          <w:color w:val="000000"/>
          <w:kern w:val="0"/>
          <w:sz w:val="20"/>
          <w:szCs w:val="20"/>
          <w:vertAlign w:val="subscript"/>
          <w14:ligatures w14:val="none"/>
        </w:rPr>
        <w:t>1</w:t>
      </w:r>
      <w:r w:rsidRPr="000C6CFC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)</w:t>
      </w:r>
    </w:p>
    <w:p w:rsidR="000C6CFC" w:rsidRPr="000C6CFC" w:rsidRDefault="000C6CFC" w:rsidP="000C6CFC">
      <w:pPr>
        <w:shd w:val="clear" w:color="auto" w:fill="FFFFFF"/>
        <w:spacing w:after="0" w:line="240" w:lineRule="auto"/>
        <w:ind w:firstLine="0"/>
        <w:jc w:val="lef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bookmarkStart w:id="5" w:name="bookmark1200"/>
      <w:bookmarkEnd w:id="5"/>
      <w:r w:rsidRPr="000C6CFC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b) Hệ số vị trí xét theo các khu vực trong đô thị (K</w:t>
      </w:r>
      <w:r w:rsidRPr="000C6CFC">
        <w:rPr>
          <w:rFonts w:ascii="Arial" w:eastAsia="Times New Roman" w:hAnsi="Arial" w:cs="Arial"/>
          <w:color w:val="000000"/>
          <w:kern w:val="0"/>
          <w:sz w:val="20"/>
          <w:szCs w:val="20"/>
          <w:vertAlign w:val="subscript"/>
          <w14:ligatures w14:val="none"/>
        </w:rPr>
        <w:t>2</w:t>
      </w:r>
      <w:r w:rsidRPr="000C6CFC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)</w:t>
      </w:r>
    </w:p>
    <w:p w:rsidR="000C6CFC" w:rsidRPr="000C6CFC" w:rsidRDefault="000C6CFC" w:rsidP="000C6CFC">
      <w:pPr>
        <w:shd w:val="clear" w:color="auto" w:fill="FFFFFF"/>
        <w:spacing w:after="0" w:line="240" w:lineRule="auto"/>
        <w:ind w:firstLine="0"/>
        <w:jc w:val="lef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bookmarkStart w:id="6" w:name="bookmark1201"/>
      <w:bookmarkEnd w:id="6"/>
      <w:r w:rsidRPr="000C6CFC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c) Hệ số tầng cao (K</w:t>
      </w:r>
      <w:r w:rsidRPr="000C6CFC">
        <w:rPr>
          <w:rFonts w:ascii="Arial" w:eastAsia="Times New Roman" w:hAnsi="Arial" w:cs="Arial"/>
          <w:color w:val="000000"/>
          <w:kern w:val="0"/>
          <w:sz w:val="20"/>
          <w:szCs w:val="20"/>
          <w:vertAlign w:val="subscript"/>
          <w14:ligatures w14:val="none"/>
        </w:rPr>
        <w:t>3</w:t>
      </w:r>
      <w:r w:rsidRPr="000C6CFC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)</w:t>
      </w:r>
    </w:p>
    <w:p w:rsidR="000C6CFC" w:rsidRPr="000C6CFC" w:rsidRDefault="000C6CFC" w:rsidP="000C6CFC">
      <w:pPr>
        <w:shd w:val="clear" w:color="auto" w:fill="FFFFFF"/>
        <w:spacing w:after="0" w:line="240" w:lineRule="auto"/>
        <w:ind w:firstLine="0"/>
        <w:jc w:val="lef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bookmarkStart w:id="7" w:name="bookmark1202"/>
      <w:bookmarkEnd w:id="7"/>
      <w:r w:rsidRPr="000C6CFC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d) Hệ số điều kiện hạ tầng kỹ thuật (K</w:t>
      </w:r>
      <w:r w:rsidRPr="000C6CFC">
        <w:rPr>
          <w:rFonts w:ascii="Arial" w:eastAsia="Times New Roman" w:hAnsi="Arial" w:cs="Arial"/>
          <w:color w:val="000000"/>
          <w:kern w:val="0"/>
          <w:sz w:val="20"/>
          <w:szCs w:val="20"/>
          <w:vertAlign w:val="subscript"/>
          <w14:ligatures w14:val="none"/>
        </w:rPr>
        <w:t>4</w:t>
      </w:r>
      <w:r w:rsidRPr="000C6CFC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)</w:t>
      </w:r>
    </w:p>
    <w:p w:rsidR="000C6CFC" w:rsidRPr="000C6CFC" w:rsidRDefault="000C6CFC" w:rsidP="000C6CFC">
      <w:pPr>
        <w:shd w:val="clear" w:color="auto" w:fill="FFFFFF"/>
        <w:spacing w:before="120" w:after="0" w:line="240" w:lineRule="auto"/>
        <w:ind w:firstLine="0"/>
        <w:jc w:val="lef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0C6CFC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Trị số K</w:t>
      </w:r>
      <w:r w:rsidRPr="000C6CFC">
        <w:rPr>
          <w:rFonts w:ascii="Arial" w:eastAsia="Times New Roman" w:hAnsi="Arial" w:cs="Arial"/>
          <w:color w:val="000000"/>
          <w:kern w:val="0"/>
          <w:sz w:val="20"/>
          <w:szCs w:val="20"/>
          <w:vertAlign w:val="subscript"/>
          <w14:ligatures w14:val="none"/>
        </w:rPr>
        <w:t>1</w:t>
      </w:r>
      <w:r w:rsidRPr="000C6CFC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, K</w:t>
      </w:r>
      <w:r w:rsidRPr="000C6CFC">
        <w:rPr>
          <w:rFonts w:ascii="Arial" w:eastAsia="Times New Roman" w:hAnsi="Arial" w:cs="Arial"/>
          <w:color w:val="000000"/>
          <w:kern w:val="0"/>
          <w:sz w:val="20"/>
          <w:szCs w:val="20"/>
          <w:vertAlign w:val="subscript"/>
          <w14:ligatures w14:val="none"/>
        </w:rPr>
        <w:t>2</w:t>
      </w:r>
      <w:r w:rsidRPr="000C6CFC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, K</w:t>
      </w:r>
      <w:r w:rsidRPr="000C6CFC">
        <w:rPr>
          <w:rFonts w:ascii="Arial" w:eastAsia="Times New Roman" w:hAnsi="Arial" w:cs="Arial"/>
          <w:color w:val="000000"/>
          <w:kern w:val="0"/>
          <w:sz w:val="20"/>
          <w:szCs w:val="20"/>
          <w:vertAlign w:val="subscript"/>
          <w14:ligatures w14:val="none"/>
        </w:rPr>
        <w:t>3</w:t>
      </w:r>
      <w:r w:rsidRPr="000C6CFC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 và K</w:t>
      </w:r>
      <w:r w:rsidRPr="000C6CFC">
        <w:rPr>
          <w:rFonts w:ascii="Arial" w:eastAsia="Times New Roman" w:hAnsi="Arial" w:cs="Arial"/>
          <w:color w:val="000000"/>
          <w:kern w:val="0"/>
          <w:sz w:val="20"/>
          <w:szCs w:val="20"/>
          <w:vertAlign w:val="subscript"/>
          <w14:ligatures w14:val="none"/>
        </w:rPr>
        <w:t>4</w:t>
      </w:r>
      <w:r w:rsidRPr="000C6CFC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 được quy định thống nhất ở các biểu số 1, 2, 3 và 4 của Thông tư này như sau:</w:t>
      </w:r>
    </w:p>
    <w:p w:rsidR="000C6CFC" w:rsidRPr="000C6CFC" w:rsidRDefault="000C6CFC" w:rsidP="000C6CFC">
      <w:pPr>
        <w:shd w:val="clear" w:color="auto" w:fill="FFFFFF"/>
        <w:spacing w:before="120" w:after="0" w:line="240" w:lineRule="auto"/>
        <w:ind w:firstLine="0"/>
        <w:jc w:val="lef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0C6CFC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14:ligatures w14:val="none"/>
        </w:rPr>
        <w:t>Biểu số 1:</w:t>
      </w:r>
      <w:r w:rsidRPr="000C6CFC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 Hệ số cấp đô thị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6"/>
        <w:gridCol w:w="1213"/>
        <w:gridCol w:w="1399"/>
        <w:gridCol w:w="1213"/>
        <w:gridCol w:w="1307"/>
        <w:gridCol w:w="1494"/>
      </w:tblGrid>
      <w:tr w:rsidR="000C6CFC" w:rsidRPr="000C6CFC" w:rsidTr="000C6CFC">
        <w:trPr>
          <w:trHeight w:val="20"/>
          <w:tblCellSpacing w:w="0" w:type="dxa"/>
          <w:jc w:val="center"/>
        </w:trPr>
        <w:tc>
          <w:tcPr>
            <w:tcW w:w="1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C6CFC" w:rsidRPr="000C6CFC" w:rsidRDefault="000C6CFC" w:rsidP="000C6CFC">
            <w:pPr>
              <w:spacing w:before="120" w:after="0" w:line="240" w:lineRule="auto"/>
              <w:ind w:firstLine="0"/>
              <w:jc w:val="right"/>
              <w:rPr>
                <w:rFonts w:eastAsia="Times New Roman" w:cs="Times New Roman"/>
                <w:kern w:val="0"/>
                <w:szCs w:val="24"/>
                <w14:ligatures w14:val="none"/>
              </w:rPr>
            </w:pPr>
            <w:r w:rsidRPr="000C6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Loại đô thị</w:t>
            </w:r>
          </w:p>
          <w:p w:rsidR="000C6CFC" w:rsidRPr="000C6CFC" w:rsidRDefault="000C6CFC" w:rsidP="000C6CFC">
            <w:pPr>
              <w:spacing w:before="120" w:after="0" w:line="240" w:lineRule="auto"/>
              <w:ind w:firstLine="0"/>
              <w:jc w:val="left"/>
              <w:rPr>
                <w:rFonts w:eastAsia="Times New Roman" w:cs="Times New Roman"/>
                <w:kern w:val="0"/>
                <w:szCs w:val="24"/>
                <w14:ligatures w14:val="none"/>
              </w:rPr>
            </w:pPr>
            <w:r w:rsidRPr="000C6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Hệ số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C6CFC" w:rsidRPr="000C6CFC" w:rsidRDefault="000C6CFC" w:rsidP="000C6CFC">
            <w:pPr>
              <w:spacing w:before="120" w:after="0" w:line="240" w:lineRule="auto"/>
              <w:ind w:firstLine="0"/>
              <w:jc w:val="center"/>
              <w:rPr>
                <w:rFonts w:eastAsia="Times New Roman" w:cs="Times New Roman"/>
                <w:kern w:val="0"/>
                <w:szCs w:val="24"/>
                <w14:ligatures w14:val="none"/>
              </w:rPr>
            </w:pPr>
            <w:r w:rsidRPr="000C6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Đặc biệt và loại I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C6CFC" w:rsidRPr="000C6CFC" w:rsidRDefault="000C6CFC" w:rsidP="000C6CFC">
            <w:pPr>
              <w:spacing w:before="120" w:after="0" w:line="240" w:lineRule="auto"/>
              <w:ind w:firstLine="0"/>
              <w:jc w:val="center"/>
              <w:rPr>
                <w:rFonts w:eastAsia="Times New Roman" w:cs="Times New Roman"/>
                <w:kern w:val="0"/>
                <w:szCs w:val="24"/>
                <w14:ligatures w14:val="none"/>
              </w:rPr>
            </w:pPr>
            <w:r w:rsidRPr="000C6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II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C6CFC" w:rsidRPr="000C6CFC" w:rsidRDefault="000C6CFC" w:rsidP="000C6CFC">
            <w:pPr>
              <w:spacing w:before="120" w:after="0" w:line="240" w:lineRule="auto"/>
              <w:ind w:firstLine="0"/>
              <w:jc w:val="center"/>
              <w:rPr>
                <w:rFonts w:eastAsia="Times New Roman" w:cs="Times New Roman"/>
                <w:kern w:val="0"/>
                <w:szCs w:val="24"/>
                <w14:ligatures w14:val="none"/>
              </w:rPr>
            </w:pPr>
            <w:r w:rsidRPr="000C6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III</w:t>
            </w: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C6CFC" w:rsidRPr="000C6CFC" w:rsidRDefault="000C6CFC" w:rsidP="000C6CFC">
            <w:pPr>
              <w:spacing w:before="120" w:after="0" w:line="240" w:lineRule="auto"/>
              <w:ind w:firstLine="0"/>
              <w:jc w:val="center"/>
              <w:rPr>
                <w:rFonts w:eastAsia="Times New Roman" w:cs="Times New Roman"/>
                <w:kern w:val="0"/>
                <w:szCs w:val="24"/>
                <w14:ligatures w14:val="none"/>
              </w:rPr>
            </w:pPr>
            <w:r w:rsidRPr="000C6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IV</w:t>
            </w:r>
          </w:p>
        </w:tc>
        <w:tc>
          <w:tcPr>
            <w:tcW w:w="8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C6CFC" w:rsidRPr="000C6CFC" w:rsidRDefault="000C6CFC" w:rsidP="000C6CFC">
            <w:pPr>
              <w:spacing w:before="120" w:after="0" w:line="240" w:lineRule="auto"/>
              <w:ind w:firstLine="0"/>
              <w:jc w:val="center"/>
              <w:rPr>
                <w:rFonts w:eastAsia="Times New Roman" w:cs="Times New Roman"/>
                <w:kern w:val="0"/>
                <w:szCs w:val="24"/>
                <w14:ligatures w14:val="none"/>
              </w:rPr>
            </w:pPr>
            <w:r w:rsidRPr="000C6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V</w:t>
            </w:r>
          </w:p>
        </w:tc>
      </w:tr>
      <w:tr w:rsidR="000C6CFC" w:rsidRPr="000C6CFC" w:rsidTr="000C6CFC">
        <w:trPr>
          <w:trHeight w:val="20"/>
          <w:tblCellSpacing w:w="0" w:type="dxa"/>
          <w:jc w:val="center"/>
        </w:trPr>
        <w:tc>
          <w:tcPr>
            <w:tcW w:w="1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C6CFC" w:rsidRPr="000C6CFC" w:rsidRDefault="000C6CFC" w:rsidP="000C6CFC">
            <w:pPr>
              <w:spacing w:before="120" w:after="0" w:line="240" w:lineRule="auto"/>
              <w:ind w:firstLine="0"/>
              <w:jc w:val="left"/>
              <w:rPr>
                <w:rFonts w:eastAsia="Times New Roman" w:cs="Times New Roman"/>
                <w:kern w:val="0"/>
                <w:szCs w:val="24"/>
                <w14:ligatures w14:val="none"/>
              </w:rPr>
            </w:pPr>
            <w:r w:rsidRPr="000C6CFC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Trị số K</w:t>
            </w:r>
            <w:r w:rsidRPr="000C6CFC">
              <w:rPr>
                <w:rFonts w:ascii="Arial" w:eastAsia="Times New Roman" w:hAnsi="Arial" w:cs="Arial"/>
                <w:kern w:val="0"/>
                <w:sz w:val="20"/>
                <w:szCs w:val="20"/>
                <w:vertAlign w:val="subscript"/>
                <w14:ligatures w14:val="none"/>
              </w:rPr>
              <w:t>1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C6CFC" w:rsidRPr="000C6CFC" w:rsidRDefault="000C6CFC" w:rsidP="000C6CFC">
            <w:pPr>
              <w:spacing w:before="120" w:after="0" w:line="240" w:lineRule="auto"/>
              <w:ind w:firstLine="0"/>
              <w:jc w:val="center"/>
              <w:rPr>
                <w:rFonts w:eastAsia="Times New Roman" w:cs="Times New Roman"/>
                <w:kern w:val="0"/>
                <w:szCs w:val="24"/>
                <w14:ligatures w14:val="none"/>
              </w:rPr>
            </w:pPr>
            <w:r w:rsidRPr="000C6CFC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0,00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C6CFC" w:rsidRPr="000C6CFC" w:rsidRDefault="000C6CFC" w:rsidP="000C6CFC">
            <w:pPr>
              <w:spacing w:before="120" w:after="0" w:line="240" w:lineRule="auto"/>
              <w:ind w:firstLine="0"/>
              <w:jc w:val="center"/>
              <w:rPr>
                <w:rFonts w:eastAsia="Times New Roman" w:cs="Times New Roman"/>
                <w:kern w:val="0"/>
                <w:szCs w:val="24"/>
                <w14:ligatures w14:val="none"/>
              </w:rPr>
            </w:pPr>
            <w:r w:rsidRPr="000C6CFC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-0,05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C6CFC" w:rsidRPr="000C6CFC" w:rsidRDefault="000C6CFC" w:rsidP="000C6CFC">
            <w:pPr>
              <w:spacing w:before="120" w:after="0" w:line="240" w:lineRule="auto"/>
              <w:ind w:firstLine="0"/>
              <w:jc w:val="center"/>
              <w:rPr>
                <w:rFonts w:eastAsia="Times New Roman" w:cs="Times New Roman"/>
                <w:kern w:val="0"/>
                <w:szCs w:val="24"/>
                <w14:ligatures w14:val="none"/>
              </w:rPr>
            </w:pPr>
            <w:r w:rsidRPr="000C6CFC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-0,10</w:t>
            </w: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C6CFC" w:rsidRPr="000C6CFC" w:rsidRDefault="000C6CFC" w:rsidP="000C6CFC">
            <w:pPr>
              <w:spacing w:before="120" w:after="0" w:line="240" w:lineRule="auto"/>
              <w:ind w:firstLine="0"/>
              <w:jc w:val="center"/>
              <w:rPr>
                <w:rFonts w:eastAsia="Times New Roman" w:cs="Times New Roman"/>
                <w:kern w:val="0"/>
                <w:szCs w:val="24"/>
                <w14:ligatures w14:val="none"/>
              </w:rPr>
            </w:pPr>
            <w:r w:rsidRPr="000C6CFC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-0,15</w:t>
            </w:r>
          </w:p>
        </w:tc>
        <w:tc>
          <w:tcPr>
            <w:tcW w:w="8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C6CFC" w:rsidRPr="000C6CFC" w:rsidRDefault="000C6CFC" w:rsidP="000C6CFC">
            <w:pPr>
              <w:spacing w:before="120" w:after="0" w:line="240" w:lineRule="auto"/>
              <w:ind w:firstLine="0"/>
              <w:jc w:val="center"/>
              <w:rPr>
                <w:rFonts w:eastAsia="Times New Roman" w:cs="Times New Roman"/>
                <w:kern w:val="0"/>
                <w:szCs w:val="24"/>
                <w14:ligatures w14:val="none"/>
              </w:rPr>
            </w:pPr>
            <w:r w:rsidRPr="000C6CFC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-0,20</w:t>
            </w:r>
          </w:p>
        </w:tc>
      </w:tr>
    </w:tbl>
    <w:p w:rsidR="000C6CFC" w:rsidRPr="000C6CFC" w:rsidRDefault="000C6CFC" w:rsidP="000C6CFC">
      <w:pPr>
        <w:shd w:val="clear" w:color="auto" w:fill="FFFFFF"/>
        <w:spacing w:before="120" w:after="0" w:line="240" w:lineRule="auto"/>
        <w:ind w:firstLine="0"/>
        <w:jc w:val="lef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0C6CFC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14:ligatures w14:val="none"/>
        </w:rPr>
        <w:t>Biểu số 2: </w:t>
      </w:r>
      <w:r w:rsidRPr="000C6CFC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Hệ số vị trí xét theo khu vực (K</w:t>
      </w:r>
      <w:r w:rsidRPr="000C6CFC">
        <w:rPr>
          <w:rFonts w:ascii="Arial" w:eastAsia="Times New Roman" w:hAnsi="Arial" w:cs="Arial"/>
          <w:color w:val="000000"/>
          <w:kern w:val="0"/>
          <w:sz w:val="20"/>
          <w:szCs w:val="20"/>
          <w:vertAlign w:val="subscript"/>
          <w14:ligatures w14:val="none"/>
        </w:rPr>
        <w:t>2</w:t>
      </w:r>
      <w:r w:rsidRPr="000C6CFC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)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90"/>
        <w:gridCol w:w="1920"/>
        <w:gridCol w:w="1921"/>
        <w:gridCol w:w="1921"/>
      </w:tblGrid>
      <w:tr w:rsidR="000C6CFC" w:rsidRPr="000C6CFC" w:rsidTr="000C6CFC">
        <w:trPr>
          <w:trHeight w:val="20"/>
          <w:tblCellSpacing w:w="0" w:type="dxa"/>
          <w:jc w:val="center"/>
        </w:trPr>
        <w:tc>
          <w:tcPr>
            <w:tcW w:w="18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C6CFC" w:rsidRPr="000C6CFC" w:rsidRDefault="000C6CFC" w:rsidP="000C6CFC">
            <w:pPr>
              <w:spacing w:before="120" w:after="0" w:line="240" w:lineRule="auto"/>
              <w:ind w:firstLine="0"/>
              <w:jc w:val="right"/>
              <w:rPr>
                <w:rFonts w:eastAsia="Times New Roman" w:cs="Times New Roman"/>
                <w:kern w:val="0"/>
                <w:szCs w:val="24"/>
                <w14:ligatures w14:val="none"/>
              </w:rPr>
            </w:pPr>
            <w:r w:rsidRPr="000C6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Khu vực</w:t>
            </w:r>
            <w:r w:rsidRPr="000C6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br/>
              <w:t>trong đô thị</w:t>
            </w:r>
          </w:p>
          <w:p w:rsidR="000C6CFC" w:rsidRPr="000C6CFC" w:rsidRDefault="000C6CFC" w:rsidP="000C6CFC">
            <w:pPr>
              <w:spacing w:before="120" w:after="0" w:line="240" w:lineRule="auto"/>
              <w:ind w:firstLine="0"/>
              <w:jc w:val="left"/>
              <w:rPr>
                <w:rFonts w:eastAsia="Times New Roman" w:cs="Times New Roman"/>
                <w:kern w:val="0"/>
                <w:szCs w:val="24"/>
                <w14:ligatures w14:val="none"/>
              </w:rPr>
            </w:pPr>
            <w:r w:rsidRPr="000C6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Hệ số</w:t>
            </w:r>
          </w:p>
        </w:tc>
        <w:tc>
          <w:tcPr>
            <w:tcW w:w="10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C6CFC" w:rsidRPr="000C6CFC" w:rsidRDefault="000C6CFC" w:rsidP="000C6CFC">
            <w:pPr>
              <w:spacing w:before="120" w:after="0" w:line="240" w:lineRule="auto"/>
              <w:ind w:firstLine="0"/>
              <w:jc w:val="center"/>
              <w:rPr>
                <w:rFonts w:eastAsia="Times New Roman" w:cs="Times New Roman"/>
                <w:kern w:val="0"/>
                <w:szCs w:val="24"/>
                <w14:ligatures w14:val="none"/>
              </w:rPr>
            </w:pPr>
            <w:r w:rsidRPr="000C6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Trung tâm</w:t>
            </w:r>
          </w:p>
        </w:tc>
        <w:tc>
          <w:tcPr>
            <w:tcW w:w="10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C6CFC" w:rsidRPr="000C6CFC" w:rsidRDefault="000C6CFC" w:rsidP="000C6CFC">
            <w:pPr>
              <w:spacing w:before="120" w:after="0" w:line="240" w:lineRule="auto"/>
              <w:ind w:firstLine="0"/>
              <w:jc w:val="center"/>
              <w:rPr>
                <w:rFonts w:eastAsia="Times New Roman" w:cs="Times New Roman"/>
                <w:kern w:val="0"/>
                <w:szCs w:val="24"/>
                <w14:ligatures w14:val="none"/>
              </w:rPr>
            </w:pPr>
            <w:r w:rsidRPr="000C6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Cận trung tâm</w:t>
            </w:r>
          </w:p>
        </w:tc>
        <w:tc>
          <w:tcPr>
            <w:tcW w:w="10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C6CFC" w:rsidRPr="000C6CFC" w:rsidRDefault="000C6CFC" w:rsidP="000C6CFC">
            <w:pPr>
              <w:spacing w:before="120" w:after="0" w:line="240" w:lineRule="auto"/>
              <w:ind w:firstLine="0"/>
              <w:jc w:val="center"/>
              <w:rPr>
                <w:rFonts w:eastAsia="Times New Roman" w:cs="Times New Roman"/>
                <w:kern w:val="0"/>
                <w:szCs w:val="24"/>
                <w14:ligatures w14:val="none"/>
              </w:rPr>
            </w:pPr>
            <w:r w:rsidRPr="000C6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Ven nội</w:t>
            </w:r>
          </w:p>
        </w:tc>
      </w:tr>
      <w:tr w:rsidR="000C6CFC" w:rsidRPr="000C6CFC" w:rsidTr="000C6CFC">
        <w:trPr>
          <w:trHeight w:val="20"/>
          <w:tblCellSpacing w:w="0" w:type="dxa"/>
          <w:jc w:val="center"/>
        </w:trPr>
        <w:tc>
          <w:tcPr>
            <w:tcW w:w="18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C6CFC" w:rsidRPr="000C6CFC" w:rsidRDefault="000C6CFC" w:rsidP="000C6CFC">
            <w:pPr>
              <w:spacing w:before="120" w:after="0" w:line="240" w:lineRule="auto"/>
              <w:ind w:firstLine="0"/>
              <w:jc w:val="left"/>
              <w:rPr>
                <w:rFonts w:eastAsia="Times New Roman" w:cs="Times New Roman"/>
                <w:kern w:val="0"/>
                <w:szCs w:val="24"/>
                <w14:ligatures w14:val="none"/>
              </w:rPr>
            </w:pPr>
            <w:r w:rsidRPr="000C6CFC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Trị số K</w:t>
            </w:r>
            <w:r w:rsidRPr="000C6CFC">
              <w:rPr>
                <w:rFonts w:ascii="Arial" w:eastAsia="Times New Roman" w:hAnsi="Arial" w:cs="Arial"/>
                <w:kern w:val="0"/>
                <w:sz w:val="20"/>
                <w:szCs w:val="20"/>
                <w:vertAlign w:val="subscript"/>
                <w14:ligatures w14:val="none"/>
              </w:rPr>
              <w:t>2</w:t>
            </w:r>
          </w:p>
        </w:tc>
        <w:tc>
          <w:tcPr>
            <w:tcW w:w="10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C6CFC" w:rsidRPr="000C6CFC" w:rsidRDefault="000C6CFC" w:rsidP="000C6CFC">
            <w:pPr>
              <w:spacing w:before="120" w:after="0" w:line="240" w:lineRule="auto"/>
              <w:ind w:firstLine="0"/>
              <w:jc w:val="center"/>
              <w:rPr>
                <w:rFonts w:eastAsia="Times New Roman" w:cs="Times New Roman"/>
                <w:kern w:val="0"/>
                <w:szCs w:val="24"/>
                <w14:ligatures w14:val="none"/>
              </w:rPr>
            </w:pPr>
            <w:r w:rsidRPr="000C6CFC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0,00</w:t>
            </w:r>
          </w:p>
        </w:tc>
        <w:tc>
          <w:tcPr>
            <w:tcW w:w="10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C6CFC" w:rsidRPr="000C6CFC" w:rsidRDefault="000C6CFC" w:rsidP="000C6CFC">
            <w:pPr>
              <w:spacing w:before="120" w:after="0" w:line="240" w:lineRule="auto"/>
              <w:ind w:firstLine="0"/>
              <w:jc w:val="center"/>
              <w:rPr>
                <w:rFonts w:eastAsia="Times New Roman" w:cs="Times New Roman"/>
                <w:kern w:val="0"/>
                <w:szCs w:val="24"/>
                <w14:ligatures w14:val="none"/>
              </w:rPr>
            </w:pPr>
            <w:r w:rsidRPr="000C6CFC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-0,10</w:t>
            </w:r>
          </w:p>
        </w:tc>
        <w:tc>
          <w:tcPr>
            <w:tcW w:w="10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C6CFC" w:rsidRPr="000C6CFC" w:rsidRDefault="000C6CFC" w:rsidP="000C6CFC">
            <w:pPr>
              <w:spacing w:before="120" w:after="0" w:line="240" w:lineRule="auto"/>
              <w:ind w:firstLine="0"/>
              <w:jc w:val="center"/>
              <w:rPr>
                <w:rFonts w:eastAsia="Times New Roman" w:cs="Times New Roman"/>
                <w:kern w:val="0"/>
                <w:szCs w:val="24"/>
                <w14:ligatures w14:val="none"/>
              </w:rPr>
            </w:pPr>
            <w:r w:rsidRPr="000C6CFC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-0,20</w:t>
            </w:r>
          </w:p>
        </w:tc>
      </w:tr>
    </w:tbl>
    <w:p w:rsidR="000C6CFC" w:rsidRPr="000C6CFC" w:rsidRDefault="000C6CFC" w:rsidP="000C6CFC">
      <w:pPr>
        <w:shd w:val="clear" w:color="auto" w:fill="FFFFFF"/>
        <w:spacing w:before="120" w:after="0" w:line="240" w:lineRule="auto"/>
        <w:ind w:firstLine="0"/>
        <w:jc w:val="lef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0C6CFC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14:ligatures w14:val="none"/>
        </w:rPr>
        <w:t>Biểu số 3:</w:t>
      </w:r>
      <w:r w:rsidRPr="000C6CFC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 Hệ số tầng cao (K</w:t>
      </w:r>
      <w:r w:rsidRPr="000C6CFC">
        <w:rPr>
          <w:rFonts w:ascii="Arial" w:eastAsia="Times New Roman" w:hAnsi="Arial" w:cs="Arial"/>
          <w:color w:val="000000"/>
          <w:kern w:val="0"/>
          <w:sz w:val="20"/>
          <w:szCs w:val="20"/>
          <w:vertAlign w:val="subscript"/>
          <w14:ligatures w14:val="none"/>
        </w:rPr>
        <w:t>3</w:t>
      </w:r>
      <w:r w:rsidRPr="000C6CFC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)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1"/>
        <w:gridCol w:w="1132"/>
        <w:gridCol w:w="943"/>
        <w:gridCol w:w="1320"/>
        <w:gridCol w:w="1320"/>
        <w:gridCol w:w="1226"/>
        <w:gridCol w:w="1320"/>
      </w:tblGrid>
      <w:tr w:rsidR="000C6CFC" w:rsidRPr="000C6CFC" w:rsidTr="000C6CFC">
        <w:trPr>
          <w:trHeight w:val="20"/>
          <w:tblCellSpacing w:w="0" w:type="dxa"/>
        </w:trPr>
        <w:tc>
          <w:tcPr>
            <w:tcW w:w="9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C6CFC" w:rsidRPr="000C6CFC" w:rsidRDefault="000C6CFC" w:rsidP="000C6CFC">
            <w:pPr>
              <w:spacing w:before="120" w:after="0"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C6CF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Tầng nhà</w:t>
            </w:r>
          </w:p>
          <w:p w:rsidR="000C6CFC" w:rsidRPr="000C6CFC" w:rsidRDefault="000C6CFC" w:rsidP="000C6CFC">
            <w:pPr>
              <w:spacing w:before="120" w:after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C6CF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Hệ số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C6CFC" w:rsidRPr="000C6CFC" w:rsidRDefault="000C6CFC" w:rsidP="000C6CFC">
            <w:pPr>
              <w:spacing w:before="120"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C6CF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I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C6CFC" w:rsidRPr="000C6CFC" w:rsidRDefault="000C6CFC" w:rsidP="000C6CFC">
            <w:pPr>
              <w:spacing w:before="120"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C6CF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II</w:t>
            </w: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C6CFC" w:rsidRPr="000C6CFC" w:rsidRDefault="000C6CFC" w:rsidP="000C6CFC">
            <w:pPr>
              <w:spacing w:before="120"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C6CF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III</w:t>
            </w: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C6CFC" w:rsidRPr="000C6CFC" w:rsidRDefault="000C6CFC" w:rsidP="000C6CFC">
            <w:pPr>
              <w:spacing w:before="120"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C6CF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IV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C6CFC" w:rsidRPr="000C6CFC" w:rsidRDefault="000C6CFC" w:rsidP="000C6CFC">
            <w:pPr>
              <w:spacing w:before="120"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C6CF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V</w:t>
            </w: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C6CFC" w:rsidRPr="000C6CFC" w:rsidRDefault="000C6CFC" w:rsidP="000C6CFC">
            <w:pPr>
              <w:spacing w:before="120"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C6CF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VI trở lên</w:t>
            </w:r>
          </w:p>
        </w:tc>
      </w:tr>
      <w:tr w:rsidR="000C6CFC" w:rsidRPr="000C6CFC" w:rsidTr="000C6CFC">
        <w:trPr>
          <w:trHeight w:val="20"/>
          <w:tblCellSpacing w:w="0" w:type="dxa"/>
        </w:trPr>
        <w:tc>
          <w:tcPr>
            <w:tcW w:w="9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C6CFC" w:rsidRPr="000C6CFC" w:rsidRDefault="000C6CFC" w:rsidP="000C6CFC">
            <w:pPr>
              <w:spacing w:before="120" w:after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C6CF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Trị số K</w:t>
            </w:r>
            <w:r w:rsidRPr="000C6CF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vertAlign w:val="subscript"/>
                <w14:ligatures w14:val="none"/>
              </w:rPr>
              <w:t>3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C6CFC" w:rsidRPr="000C6CFC" w:rsidRDefault="000C6CFC" w:rsidP="000C6CFC">
            <w:pPr>
              <w:spacing w:before="120"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C6CF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+0,15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C6CFC" w:rsidRPr="000C6CFC" w:rsidRDefault="000C6CFC" w:rsidP="000C6CFC">
            <w:pPr>
              <w:spacing w:before="120"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C6CF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+0,05</w:t>
            </w: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C6CFC" w:rsidRPr="000C6CFC" w:rsidRDefault="000C6CFC" w:rsidP="000C6CFC">
            <w:pPr>
              <w:spacing w:before="120"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C6CF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0,00</w:t>
            </w: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C6CFC" w:rsidRPr="000C6CFC" w:rsidRDefault="000C6CFC" w:rsidP="000C6CFC">
            <w:pPr>
              <w:spacing w:before="120"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C6CF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-0,10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C6CFC" w:rsidRPr="000C6CFC" w:rsidRDefault="000C6CFC" w:rsidP="000C6CFC">
            <w:pPr>
              <w:spacing w:before="120"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C6CF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-0,20</w:t>
            </w: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C6CFC" w:rsidRPr="000C6CFC" w:rsidRDefault="000C6CFC" w:rsidP="000C6CFC">
            <w:pPr>
              <w:spacing w:before="120"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C6CF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-0,30</w:t>
            </w:r>
          </w:p>
        </w:tc>
      </w:tr>
    </w:tbl>
    <w:p w:rsidR="000C6CFC" w:rsidRPr="000C6CFC" w:rsidRDefault="000C6CFC" w:rsidP="000C6CFC">
      <w:pPr>
        <w:shd w:val="clear" w:color="auto" w:fill="FFFFFF"/>
        <w:spacing w:before="120" w:after="0" w:line="240" w:lineRule="auto"/>
        <w:ind w:firstLine="0"/>
        <w:jc w:val="lef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0C6CFC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- Những địa phương sử dụng khái niệm tầng trệt thì tầng trệt là tầng 1 quy định trong phụ lục này.</w:t>
      </w:r>
    </w:p>
    <w:p w:rsidR="000C6CFC" w:rsidRPr="000C6CFC" w:rsidRDefault="000C6CFC" w:rsidP="000C6CFC">
      <w:pPr>
        <w:shd w:val="clear" w:color="auto" w:fill="FFFFFF"/>
        <w:spacing w:after="0" w:line="240" w:lineRule="auto"/>
        <w:ind w:firstLine="0"/>
        <w:jc w:val="lef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bookmarkStart w:id="8" w:name="bookmark1188"/>
      <w:bookmarkEnd w:id="8"/>
      <w:r w:rsidRPr="000C6CFC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- Việc phân cấp nhà ở để thực hiện cho thuê, bán nhà ở cũ thuộc tài sản công căn cứ vào Phụ lục số X, Phụ lục số XI kèm theo Nghị định này.</w:t>
      </w:r>
    </w:p>
    <w:p w:rsidR="000C6CFC" w:rsidRPr="000C6CFC" w:rsidRDefault="000C6CFC" w:rsidP="000C6CFC">
      <w:pPr>
        <w:shd w:val="clear" w:color="auto" w:fill="FFFFFF"/>
        <w:spacing w:before="120" w:after="0" w:line="240" w:lineRule="auto"/>
        <w:ind w:firstLine="0"/>
        <w:jc w:val="lef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0C6CFC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14:ligatures w14:val="none"/>
        </w:rPr>
        <w:t>Biểu số 4: </w:t>
      </w:r>
      <w:r w:rsidRPr="000C6CFC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Hệ số điều kiện hạ tầng kỹ thuật (K</w:t>
      </w:r>
      <w:r w:rsidRPr="000C6CFC">
        <w:rPr>
          <w:rFonts w:ascii="Arial" w:eastAsia="Times New Roman" w:hAnsi="Arial" w:cs="Arial"/>
          <w:color w:val="000000"/>
          <w:kern w:val="0"/>
          <w:sz w:val="20"/>
          <w:szCs w:val="20"/>
          <w:vertAlign w:val="subscript"/>
          <w14:ligatures w14:val="none"/>
        </w:rPr>
        <w:t>4</w:t>
      </w:r>
      <w:r w:rsidRPr="000C6CFC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)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6"/>
        <w:gridCol w:w="1755"/>
        <w:gridCol w:w="1754"/>
        <w:gridCol w:w="1847"/>
      </w:tblGrid>
      <w:tr w:rsidR="000C6CFC" w:rsidRPr="000C6CFC" w:rsidTr="000C6CFC">
        <w:trPr>
          <w:trHeight w:val="20"/>
          <w:tblCellSpacing w:w="0" w:type="dxa"/>
        </w:trPr>
        <w:tc>
          <w:tcPr>
            <w:tcW w:w="2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C6CFC" w:rsidRPr="000C6CFC" w:rsidRDefault="000C6CFC" w:rsidP="000C6CFC">
            <w:pPr>
              <w:spacing w:before="120" w:after="0"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C6CF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ĐK hạ tầng kỹ thuật</w:t>
            </w:r>
          </w:p>
          <w:p w:rsidR="000C6CFC" w:rsidRPr="000C6CFC" w:rsidRDefault="000C6CFC" w:rsidP="000C6CFC">
            <w:pPr>
              <w:spacing w:before="120" w:after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C6CF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Hệ số</w:t>
            </w:r>
          </w:p>
        </w:tc>
        <w:tc>
          <w:tcPr>
            <w:tcW w:w="9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C6CFC" w:rsidRPr="000C6CFC" w:rsidRDefault="000C6CFC" w:rsidP="000C6CFC">
            <w:pPr>
              <w:spacing w:before="120"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C6CF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Tốt</w:t>
            </w:r>
          </w:p>
        </w:tc>
        <w:tc>
          <w:tcPr>
            <w:tcW w:w="9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C6CFC" w:rsidRPr="000C6CFC" w:rsidRDefault="000C6CFC" w:rsidP="000C6CFC">
            <w:pPr>
              <w:spacing w:before="120"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C6CF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Trung bình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C6CFC" w:rsidRPr="000C6CFC" w:rsidRDefault="000C6CFC" w:rsidP="000C6CFC">
            <w:pPr>
              <w:spacing w:before="120"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C6CF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Kém</w:t>
            </w:r>
          </w:p>
        </w:tc>
      </w:tr>
      <w:tr w:rsidR="000C6CFC" w:rsidRPr="000C6CFC" w:rsidTr="000C6CFC">
        <w:trPr>
          <w:trHeight w:val="20"/>
          <w:tblCellSpacing w:w="0" w:type="dxa"/>
        </w:trPr>
        <w:tc>
          <w:tcPr>
            <w:tcW w:w="20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C6CFC" w:rsidRPr="000C6CFC" w:rsidRDefault="000C6CFC" w:rsidP="000C6CFC">
            <w:pPr>
              <w:spacing w:before="120" w:after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C6CF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Trị số K</w:t>
            </w:r>
            <w:r w:rsidRPr="000C6CF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vertAlign w:val="subscript"/>
                <w14:ligatures w14:val="none"/>
              </w:rPr>
              <w:t>4</w:t>
            </w:r>
          </w:p>
        </w:tc>
        <w:tc>
          <w:tcPr>
            <w:tcW w:w="9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C6CFC" w:rsidRPr="000C6CFC" w:rsidRDefault="000C6CFC" w:rsidP="000C6CFC">
            <w:pPr>
              <w:spacing w:before="120"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C6CF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0,00</w:t>
            </w:r>
          </w:p>
        </w:tc>
        <w:tc>
          <w:tcPr>
            <w:tcW w:w="9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C6CFC" w:rsidRPr="000C6CFC" w:rsidRDefault="000C6CFC" w:rsidP="000C6CFC">
            <w:pPr>
              <w:spacing w:before="120"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C6CF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-0,10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C6CFC" w:rsidRPr="000C6CFC" w:rsidRDefault="000C6CFC" w:rsidP="000C6CFC">
            <w:pPr>
              <w:spacing w:before="120"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C6CF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-0,20</w:t>
            </w:r>
          </w:p>
        </w:tc>
      </w:tr>
    </w:tbl>
    <w:p w:rsidR="000C6CFC" w:rsidRPr="000C6CFC" w:rsidRDefault="000C6CFC" w:rsidP="000C6CFC">
      <w:pPr>
        <w:shd w:val="clear" w:color="auto" w:fill="FFFFFF"/>
        <w:spacing w:before="120" w:after="0" w:line="240" w:lineRule="auto"/>
        <w:ind w:firstLine="0"/>
        <w:jc w:val="lef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0C6CFC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Các điều kiện hạ tầng kỹ thuật chủ yếu (gắn liền với nhà ở) để đánh giá nhà ở bao gồm: Điều kiện giao thông, điều kiện vệ sinh của nhà ở, điều kiện hệ thống cấp thoát nước, cụ thể:</w:t>
      </w:r>
    </w:p>
    <w:p w:rsidR="000C6CFC" w:rsidRPr="000C6CFC" w:rsidRDefault="000C6CFC" w:rsidP="000C6CFC">
      <w:pPr>
        <w:shd w:val="clear" w:color="auto" w:fill="FFFFFF"/>
        <w:spacing w:before="120" w:after="0" w:line="240" w:lineRule="auto"/>
        <w:ind w:firstLine="0"/>
        <w:jc w:val="lef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0C6CFC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- Điều kiện hạ tầng kỹ thuật đạt loại tốt khi đảm bảo cả ba điều kiện sau:</w:t>
      </w:r>
    </w:p>
    <w:p w:rsidR="000C6CFC" w:rsidRPr="000C6CFC" w:rsidRDefault="000C6CFC" w:rsidP="000C6CFC">
      <w:pPr>
        <w:shd w:val="clear" w:color="auto" w:fill="FFFFFF"/>
        <w:spacing w:before="120" w:after="0" w:line="240" w:lineRule="auto"/>
        <w:ind w:firstLine="0"/>
        <w:jc w:val="lef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0C6CFC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+ Điều kiện 1: nhà ở có đường cho ô tô đến tận ngôi nhà;</w:t>
      </w:r>
    </w:p>
    <w:p w:rsidR="000C6CFC" w:rsidRPr="000C6CFC" w:rsidRDefault="000C6CFC" w:rsidP="000C6CFC">
      <w:pPr>
        <w:shd w:val="clear" w:color="auto" w:fill="FFFFFF"/>
        <w:spacing w:before="120" w:after="0" w:line="240" w:lineRule="auto"/>
        <w:ind w:firstLine="0"/>
        <w:jc w:val="lef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0C6CFC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+ Điều kiện 2: có khu vệ sinh khép kín;</w:t>
      </w:r>
    </w:p>
    <w:p w:rsidR="000C6CFC" w:rsidRPr="000C6CFC" w:rsidRDefault="000C6CFC" w:rsidP="000C6CFC">
      <w:pPr>
        <w:shd w:val="clear" w:color="auto" w:fill="FFFFFF"/>
        <w:spacing w:before="120" w:after="0" w:line="240" w:lineRule="auto"/>
        <w:ind w:firstLine="0"/>
        <w:jc w:val="lef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0C6CFC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+ Điều kiện 3: có hệ thống cấp thoát nước hoạt động bình thường.</w:t>
      </w:r>
    </w:p>
    <w:p w:rsidR="000C6CFC" w:rsidRPr="000C6CFC" w:rsidRDefault="000C6CFC" w:rsidP="000C6CFC">
      <w:pPr>
        <w:shd w:val="clear" w:color="auto" w:fill="FFFFFF"/>
        <w:spacing w:after="0" w:line="240" w:lineRule="auto"/>
        <w:ind w:firstLine="0"/>
        <w:jc w:val="lef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bookmarkStart w:id="9" w:name="bookmark1203"/>
      <w:bookmarkEnd w:id="9"/>
      <w:r w:rsidRPr="000C6CFC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lastRenderedPageBreak/>
        <w:t>- Điều kiện hạ tầng kỹ thuật đạt loại trung bình khi chỉ đảm bảo điều kiện 1 hoặc có đủ điều kiện 2 và 3.</w:t>
      </w:r>
    </w:p>
    <w:p w:rsidR="000C6CFC" w:rsidRPr="000C6CFC" w:rsidRDefault="000C6CFC" w:rsidP="000C6CFC">
      <w:pPr>
        <w:shd w:val="clear" w:color="auto" w:fill="FFFFFF"/>
        <w:spacing w:after="0" w:line="240" w:lineRule="auto"/>
        <w:ind w:firstLine="0"/>
        <w:jc w:val="lef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bookmarkStart w:id="10" w:name="bookmark1204"/>
      <w:bookmarkEnd w:id="10"/>
      <w:r w:rsidRPr="000C6CFC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- Điều kiện hạ tầng kỹ thuật đạt loại kém khi nhà ở chỉ có điều kiện 2 hoặc điều kiện 3 hoặc không đảm bảo cả 3 điều kiện trên.</w:t>
      </w:r>
    </w:p>
    <w:p w:rsidR="000C6CFC" w:rsidRPr="000C6CFC" w:rsidRDefault="000C6CFC" w:rsidP="000C6CFC">
      <w:pPr>
        <w:shd w:val="clear" w:color="auto" w:fill="FFFFFF"/>
        <w:spacing w:after="0" w:line="240" w:lineRule="auto"/>
        <w:ind w:firstLine="0"/>
        <w:jc w:val="lef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bookmarkStart w:id="11" w:name="bookmark1205"/>
      <w:bookmarkEnd w:id="11"/>
      <w:r w:rsidRPr="000C6CFC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2. Nguyên tắc áp dụng các hệ số</w:t>
      </w:r>
    </w:p>
    <w:p w:rsidR="000C6CFC" w:rsidRPr="000C6CFC" w:rsidRDefault="000C6CFC" w:rsidP="000C6CFC">
      <w:pPr>
        <w:shd w:val="clear" w:color="auto" w:fill="FFFFFF"/>
        <w:spacing w:before="120" w:after="0" w:line="240" w:lineRule="auto"/>
        <w:ind w:firstLine="0"/>
        <w:jc w:val="lef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0C6CFC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Biệt thự các hạng và nhà ở các cấp áp dụng tối đa không vượt quá 4 hệ số đã quy định trên đây, dấu (+) tăng thêm, dấu (-) giảm đi.</w:t>
      </w:r>
    </w:p>
    <w:p w:rsidR="000C6CFC" w:rsidRPr="000C6CFC" w:rsidRDefault="000C6CFC" w:rsidP="000C6CFC">
      <w:pPr>
        <w:shd w:val="clear" w:color="auto" w:fill="FFFFFF"/>
        <w:spacing w:after="0" w:line="240" w:lineRule="auto"/>
        <w:ind w:firstLine="0"/>
        <w:jc w:val="lef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bookmarkStart w:id="12" w:name="bookmark1206"/>
      <w:bookmarkEnd w:id="12"/>
      <w:r w:rsidRPr="000C6CFC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3. Đơn giá cho thuê 1 m</w:t>
      </w:r>
      <w:r w:rsidRPr="000C6CFC">
        <w:rPr>
          <w:rFonts w:ascii="Arial" w:eastAsia="Times New Roman" w:hAnsi="Arial" w:cs="Arial"/>
          <w:color w:val="000000"/>
          <w:kern w:val="0"/>
          <w:sz w:val="20"/>
          <w:szCs w:val="20"/>
          <w:vertAlign w:val="superscript"/>
          <w14:ligatures w14:val="none"/>
        </w:rPr>
        <w:t>2</w:t>
      </w:r>
      <w:r w:rsidRPr="000C6CFC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 diện tích sử dụng nhà ở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0"/>
        <w:gridCol w:w="2313"/>
        <w:gridCol w:w="924"/>
        <w:gridCol w:w="2126"/>
        <w:gridCol w:w="1849"/>
      </w:tblGrid>
      <w:tr w:rsidR="000C6CFC" w:rsidRPr="000C6CFC" w:rsidTr="000C6CFC">
        <w:trPr>
          <w:tblCellSpacing w:w="0" w:type="dxa"/>
        </w:trPr>
        <w:tc>
          <w:tcPr>
            <w:tcW w:w="10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6CFC" w:rsidRPr="000C6CFC" w:rsidRDefault="000C6CFC" w:rsidP="000C6CFC">
            <w:pPr>
              <w:spacing w:before="120" w:after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C6CF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Giá cho thuê nhà ở (biệt thự hoặc nhà ở các cấp) =</w:t>
            </w:r>
          </w:p>
        </w:tc>
        <w:tc>
          <w:tcPr>
            <w:tcW w:w="12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6CFC" w:rsidRPr="000C6CFC" w:rsidRDefault="000C6CFC" w:rsidP="000C6CFC">
            <w:pPr>
              <w:spacing w:before="120"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C6CF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Giá chuẩn của cấp, hạng nhà ở tương ứng (quy định tại mục I Phụ lục này)</w:t>
            </w:r>
          </w:p>
        </w:tc>
        <w:tc>
          <w:tcPr>
            <w:tcW w:w="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6CFC" w:rsidRPr="000C6CFC" w:rsidRDefault="000C6CFC" w:rsidP="000C6CFC">
            <w:pPr>
              <w:spacing w:before="120"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C6CF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1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6CFC" w:rsidRPr="000C6CFC" w:rsidRDefault="000C6CFC" w:rsidP="000C6CFC">
            <w:pPr>
              <w:spacing w:before="120"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C6CF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1+ tổng các hệ số áp dụng theo điều kiện nhà ở cho thuê</w:t>
            </w:r>
          </w:p>
        </w:tc>
        <w:tc>
          <w:tcPr>
            <w:tcW w:w="10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6CFC" w:rsidRPr="000C6CFC" w:rsidRDefault="000C6CFC" w:rsidP="000C6CFC">
            <w:pPr>
              <w:spacing w:before="120"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C6CF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đồng/m</w:t>
            </w:r>
            <w:r w:rsidRPr="000C6CF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vertAlign w:val="superscript"/>
                <w14:ligatures w14:val="none"/>
              </w:rPr>
              <w:t>2</w:t>
            </w:r>
            <w:r w:rsidRPr="000C6CF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sử</w:t>
            </w:r>
            <w:r w:rsidRPr="000C6CF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br/>
              <w:t>dụng/tháng</w:t>
            </w:r>
          </w:p>
        </w:tc>
      </w:tr>
    </w:tbl>
    <w:p w:rsidR="000C6CFC" w:rsidRPr="000C6CFC" w:rsidRDefault="000C6CFC" w:rsidP="000C6CFC">
      <w:pPr>
        <w:shd w:val="clear" w:color="auto" w:fill="FFFFFF"/>
        <w:spacing w:before="120" w:after="0" w:line="240" w:lineRule="auto"/>
        <w:ind w:firstLine="0"/>
        <w:jc w:val="lef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0C6CFC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4. Tiền thuê nhà phải trả hàng tháng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3"/>
        <w:gridCol w:w="2802"/>
        <w:gridCol w:w="841"/>
        <w:gridCol w:w="2896"/>
      </w:tblGrid>
      <w:tr w:rsidR="000C6CFC" w:rsidRPr="000C6CFC" w:rsidTr="000C6CFC">
        <w:trPr>
          <w:tblCellSpacing w:w="0" w:type="dxa"/>
        </w:trPr>
        <w:tc>
          <w:tcPr>
            <w:tcW w:w="13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6CFC" w:rsidRPr="000C6CFC" w:rsidRDefault="000C6CFC" w:rsidP="000C6CFC">
            <w:pPr>
              <w:spacing w:before="120"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C6CF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Tiền thuê phải trả cho toàn bộ diện tích sử dụng = tổng số</w:t>
            </w:r>
          </w:p>
        </w:tc>
        <w:tc>
          <w:tcPr>
            <w:tcW w:w="1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6CFC" w:rsidRPr="000C6CFC" w:rsidRDefault="000C6CFC" w:rsidP="000C6CFC">
            <w:pPr>
              <w:spacing w:before="120"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C6CF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Giá cho thuê 1 m</w:t>
            </w:r>
            <w:r w:rsidRPr="000C6CF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vertAlign w:val="superscript"/>
                <w14:ligatures w14:val="none"/>
              </w:rPr>
              <w:t>2</w:t>
            </w:r>
            <w:r w:rsidRPr="000C6CF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sử dụng tính theo quy định tại điểm 3 Mục II của Phụ lục này</w:t>
            </w:r>
          </w:p>
        </w:tc>
        <w:tc>
          <w:tcPr>
            <w:tcW w:w="4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6CFC" w:rsidRPr="000C6CFC" w:rsidRDefault="000C6CFC" w:rsidP="000C6CFC">
            <w:pPr>
              <w:spacing w:before="120"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C6CF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5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6CFC" w:rsidRPr="000C6CFC" w:rsidRDefault="000C6CFC" w:rsidP="000C6CFC">
            <w:pPr>
              <w:spacing w:before="120"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C6CF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Diện tích sử dụng từng loại nhà tương ứng với giá cho thuê</w:t>
            </w:r>
          </w:p>
        </w:tc>
      </w:tr>
    </w:tbl>
    <w:p w:rsidR="0088021A" w:rsidRPr="006D00D8" w:rsidRDefault="0088021A" w:rsidP="00A94C9C">
      <w:pPr>
        <w:rPr>
          <w:rFonts w:asciiTheme="minorHAnsi" w:hAnsiTheme="minorHAnsi" w:cstheme="minorHAnsi"/>
          <w:sz w:val="22"/>
        </w:rPr>
      </w:pPr>
    </w:p>
    <w:sectPr w:rsidR="0088021A" w:rsidRPr="006D00D8" w:rsidSect="00804912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94460C"/>
    <w:multiLevelType w:val="multilevel"/>
    <w:tmpl w:val="03DC8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E72EB7"/>
    <w:multiLevelType w:val="multilevel"/>
    <w:tmpl w:val="CE3EA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C84568"/>
    <w:multiLevelType w:val="hybridMultilevel"/>
    <w:tmpl w:val="4B0A309A"/>
    <w:lvl w:ilvl="0" w:tplc="E5EE60CE">
      <w:start w:val="1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E867BC3"/>
    <w:multiLevelType w:val="multilevel"/>
    <w:tmpl w:val="92D2F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6E6605"/>
    <w:multiLevelType w:val="multilevel"/>
    <w:tmpl w:val="5742E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9D6D05"/>
    <w:multiLevelType w:val="multilevel"/>
    <w:tmpl w:val="333E5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23D517C"/>
    <w:multiLevelType w:val="hybridMultilevel"/>
    <w:tmpl w:val="0C100EB6"/>
    <w:lvl w:ilvl="0" w:tplc="EF04EC7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B861ADA"/>
    <w:multiLevelType w:val="multilevel"/>
    <w:tmpl w:val="B62AD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D1A6A7E"/>
    <w:multiLevelType w:val="multilevel"/>
    <w:tmpl w:val="44922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8CD2262"/>
    <w:multiLevelType w:val="multilevel"/>
    <w:tmpl w:val="A8E84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50554398">
    <w:abstractNumId w:val="4"/>
  </w:num>
  <w:num w:numId="2" w16cid:durableId="320088464">
    <w:abstractNumId w:val="9"/>
  </w:num>
  <w:num w:numId="3" w16cid:durableId="681394091">
    <w:abstractNumId w:val="8"/>
  </w:num>
  <w:num w:numId="4" w16cid:durableId="494414735">
    <w:abstractNumId w:val="5"/>
  </w:num>
  <w:num w:numId="5" w16cid:durableId="937517106">
    <w:abstractNumId w:val="7"/>
  </w:num>
  <w:num w:numId="6" w16cid:durableId="1370032628">
    <w:abstractNumId w:val="3"/>
  </w:num>
  <w:num w:numId="7" w16cid:durableId="611477327">
    <w:abstractNumId w:val="0"/>
  </w:num>
  <w:num w:numId="8" w16cid:durableId="860973761">
    <w:abstractNumId w:val="1"/>
  </w:num>
  <w:num w:numId="9" w16cid:durableId="1078213401">
    <w:abstractNumId w:val="6"/>
  </w:num>
  <w:num w:numId="10" w16cid:durableId="17464125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B7A"/>
    <w:rsid w:val="000B2B7A"/>
    <w:rsid w:val="000C6CFC"/>
    <w:rsid w:val="003B5E03"/>
    <w:rsid w:val="003D5329"/>
    <w:rsid w:val="0043709D"/>
    <w:rsid w:val="006D00D8"/>
    <w:rsid w:val="007111B8"/>
    <w:rsid w:val="00743DF4"/>
    <w:rsid w:val="00804912"/>
    <w:rsid w:val="0088021A"/>
    <w:rsid w:val="009532CB"/>
    <w:rsid w:val="009F082C"/>
    <w:rsid w:val="00A02848"/>
    <w:rsid w:val="00A94C9C"/>
    <w:rsid w:val="00E50673"/>
    <w:rsid w:val="00E84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D1F08A8"/>
  <w15:chartTrackingRefBased/>
  <w15:docId w15:val="{C729EECE-E7DE-466F-8F31-89A56DD6A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  <w:ind w:firstLine="7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067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067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94C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86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75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337248">
              <w:marLeft w:val="0"/>
              <w:marRight w:val="0"/>
              <w:marTop w:val="0"/>
              <w:marBottom w:val="0"/>
              <w:divBdr>
                <w:top w:val="single" w:sz="12" w:space="0" w:color="F89B1A"/>
                <w:left w:val="single" w:sz="6" w:space="0" w:color="C8D4DB"/>
                <w:bottom w:val="none" w:sz="0" w:space="0" w:color="auto"/>
                <w:right w:val="single" w:sz="6" w:space="0" w:color="C8D4DB"/>
              </w:divBdr>
              <w:divsChild>
                <w:div w:id="171418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64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156108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287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617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399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2947187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590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BDC8D5"/>
                                <w:left w:val="single" w:sz="2" w:space="0" w:color="BDC8D5"/>
                                <w:bottom w:val="single" w:sz="2" w:space="8" w:color="BDC8D5"/>
                                <w:right w:val="single" w:sz="2" w:space="0" w:color="BDC8D5"/>
                              </w:divBdr>
                              <w:divsChild>
                                <w:div w:id="261378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615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472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7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35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15881">
              <w:marLeft w:val="0"/>
              <w:marRight w:val="0"/>
              <w:marTop w:val="0"/>
              <w:marBottom w:val="0"/>
              <w:divBdr>
                <w:top w:val="single" w:sz="12" w:space="0" w:color="F89B1A"/>
                <w:left w:val="single" w:sz="6" w:space="0" w:color="C8D4DB"/>
                <w:bottom w:val="none" w:sz="0" w:space="0" w:color="auto"/>
                <w:right w:val="single" w:sz="6" w:space="0" w:color="C8D4DB"/>
              </w:divBdr>
              <w:divsChild>
                <w:div w:id="53254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9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020333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903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049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644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2699702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543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BDC8D5"/>
                                <w:left w:val="single" w:sz="2" w:space="0" w:color="BDC8D5"/>
                                <w:bottom w:val="single" w:sz="2" w:space="8" w:color="BDC8D5"/>
                                <w:right w:val="single" w:sz="2" w:space="0" w:color="BDC8D5"/>
                              </w:divBdr>
                              <w:divsChild>
                                <w:div w:id="1163005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927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659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3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2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406423">
              <w:marLeft w:val="0"/>
              <w:marRight w:val="0"/>
              <w:marTop w:val="0"/>
              <w:marBottom w:val="0"/>
              <w:divBdr>
                <w:top w:val="single" w:sz="12" w:space="0" w:color="F89B1A"/>
                <w:left w:val="single" w:sz="6" w:space="0" w:color="C8D4DB"/>
                <w:bottom w:val="none" w:sz="0" w:space="0" w:color="auto"/>
                <w:right w:val="single" w:sz="6" w:space="0" w:color="C8D4DB"/>
              </w:divBdr>
              <w:divsChild>
                <w:div w:id="117703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90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789680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415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033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924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7351097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476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BDC8D5"/>
                                <w:left w:val="single" w:sz="2" w:space="0" w:color="BDC8D5"/>
                                <w:bottom w:val="single" w:sz="2" w:space="8" w:color="BDC8D5"/>
                                <w:right w:val="single" w:sz="2" w:space="0" w:color="BDC8D5"/>
                              </w:divBdr>
                              <w:divsChild>
                                <w:div w:id="1094128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310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619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1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7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2024-07-31T03:24:00Z</dcterms:created>
  <dcterms:modified xsi:type="dcterms:W3CDTF">2024-07-31T03:24:00Z</dcterms:modified>
</cp:coreProperties>
</file>