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223F" w:rsidRPr="008F223F" w:rsidRDefault="008F223F" w:rsidP="008F223F">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2"/>
      <w:r w:rsidRPr="008F223F">
        <w:rPr>
          <w:rFonts w:ascii="Arial" w:eastAsia="Times New Roman" w:hAnsi="Arial" w:cs="Arial"/>
          <w:b/>
          <w:bCs/>
          <w:color w:val="000000"/>
          <w:kern w:val="0"/>
          <w:sz w:val="18"/>
          <w:szCs w:val="18"/>
          <w14:ligatures w14:val="none"/>
        </w:rPr>
        <w:t>PHỤ LỤC SỐ 03</w:t>
      </w:r>
      <w:bookmarkEnd w:id="0"/>
    </w:p>
    <w:p w:rsidR="008F223F" w:rsidRPr="008F223F" w:rsidRDefault="008F223F" w:rsidP="008F223F">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8F223F">
        <w:rPr>
          <w:rFonts w:ascii="Arial" w:eastAsia="Times New Roman" w:hAnsi="Arial" w:cs="Arial"/>
          <w:i/>
          <w:iCs/>
          <w:color w:val="000000"/>
          <w:kern w:val="0"/>
          <w:sz w:val="18"/>
          <w:szCs w:val="18"/>
          <w14:ligatures w14:val="none"/>
        </w:rPr>
        <w:t>(Ban hành kèm theo Thông tư số 43/2024/TT-NHNN ngày 09/8/2024 của Thống đốc Ngân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4"/>
        <w:gridCol w:w="4948"/>
      </w:tblGrid>
      <w:tr w:rsidR="008F223F" w:rsidRPr="008F223F" w:rsidTr="008F223F">
        <w:trPr>
          <w:tblCellSpacing w:w="0" w:type="dxa"/>
        </w:trPr>
        <w:tc>
          <w:tcPr>
            <w:tcW w:w="2250" w:type="pct"/>
            <w:shd w:val="clear" w:color="auto" w:fill="FFFFFF"/>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Đơn vị báo cáo: …….</w:t>
            </w:r>
          </w:p>
        </w:tc>
        <w:tc>
          <w:tcPr>
            <w:tcW w:w="2700" w:type="pct"/>
            <w:shd w:val="clear" w:color="auto" w:fill="FFFFFF"/>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 </w:t>
            </w:r>
          </w:p>
        </w:tc>
      </w:tr>
    </w:tbl>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 </w:t>
      </w:r>
    </w:p>
    <w:p w:rsidR="008F223F" w:rsidRPr="008F223F" w:rsidRDefault="008F223F" w:rsidP="008F223F">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2_name"/>
      <w:r w:rsidRPr="008F223F">
        <w:rPr>
          <w:rFonts w:ascii="Arial" w:eastAsia="Times New Roman" w:hAnsi="Arial" w:cs="Arial"/>
          <w:b/>
          <w:bCs/>
          <w:color w:val="000000"/>
          <w:kern w:val="0"/>
          <w:sz w:val="18"/>
          <w:szCs w:val="18"/>
          <w14:ligatures w14:val="none"/>
        </w:rPr>
        <w:t>BÁO CÁO TÌNH HÌNH MUA BÁN VÀ SỬ DỤNG</w:t>
      </w:r>
      <w:bookmarkEnd w:id="1"/>
      <w:r w:rsidRPr="008F223F">
        <w:rPr>
          <w:rFonts w:ascii="Arial" w:eastAsia="Times New Roman" w:hAnsi="Arial" w:cs="Arial"/>
          <w:color w:val="000000"/>
          <w:kern w:val="0"/>
          <w:sz w:val="18"/>
          <w:szCs w:val="18"/>
          <w14:ligatures w14:val="none"/>
        </w:rPr>
        <w:br/>
      </w:r>
      <w:bookmarkStart w:id="2" w:name="chuong_pl_2_name_name"/>
      <w:r w:rsidRPr="008F223F">
        <w:rPr>
          <w:rFonts w:ascii="Arial" w:eastAsia="Times New Roman" w:hAnsi="Arial" w:cs="Arial"/>
          <w:b/>
          <w:bCs/>
          <w:color w:val="000000"/>
          <w:kern w:val="0"/>
          <w:sz w:val="18"/>
          <w:szCs w:val="18"/>
          <w14:ligatures w14:val="none"/>
        </w:rPr>
        <w:t>DỰ TRỮ NGOẠI HỐI NHÀ NƯỚC</w:t>
      </w:r>
      <w:bookmarkEnd w:id="2"/>
      <w:r w:rsidRPr="008F223F">
        <w:rPr>
          <w:rFonts w:ascii="Arial" w:eastAsia="Times New Roman" w:hAnsi="Arial" w:cs="Arial"/>
          <w:color w:val="000000"/>
          <w:kern w:val="0"/>
          <w:sz w:val="18"/>
          <w:szCs w:val="18"/>
          <w14:ligatures w14:val="none"/>
        </w:rPr>
        <w:br/>
      </w:r>
      <w:r w:rsidRPr="008F223F">
        <w:rPr>
          <w:rFonts w:ascii="Arial" w:eastAsia="Times New Roman" w:hAnsi="Arial" w:cs="Arial"/>
          <w:i/>
          <w:iCs/>
          <w:color w:val="000000"/>
          <w:kern w:val="0"/>
          <w:sz w:val="18"/>
          <w:szCs w:val="18"/>
          <w14:ligatures w14:val="none"/>
        </w:rPr>
        <w:t>(Tháng ….năm….)</w:t>
      </w:r>
    </w:p>
    <w:p w:rsidR="008F223F" w:rsidRPr="008F223F" w:rsidRDefault="008F223F" w:rsidP="008F223F">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8F223F">
        <w:rPr>
          <w:rFonts w:ascii="Arial" w:eastAsia="Times New Roman" w:hAnsi="Arial" w:cs="Arial"/>
          <w:i/>
          <w:iCs/>
          <w:color w:val="000000"/>
          <w:kern w:val="0"/>
          <w:sz w:val="18"/>
          <w:szCs w:val="18"/>
          <w14:ligatures w14:val="none"/>
        </w:rPr>
        <w:t>Đơn vị: USD</w:t>
      </w:r>
    </w:p>
    <w:tbl>
      <w:tblPr>
        <w:tblStyle w:val="TableGrid"/>
        <w:tblW w:w="5000" w:type="pct"/>
        <w:tblLook w:val="04A0" w:firstRow="1" w:lastRow="0" w:firstColumn="1" w:lastColumn="0" w:noHBand="0" w:noVBand="1"/>
      </w:tblPr>
      <w:tblGrid>
        <w:gridCol w:w="725"/>
        <w:gridCol w:w="6706"/>
        <w:gridCol w:w="1631"/>
      </w:tblGrid>
      <w:tr w:rsidR="008F223F" w:rsidRPr="008F223F" w:rsidTr="008F223F">
        <w:tc>
          <w:tcPr>
            <w:tcW w:w="400" w:type="pct"/>
            <w:hideMark/>
          </w:tcPr>
          <w:p w:rsidR="008F223F" w:rsidRPr="008F223F" w:rsidRDefault="008F223F" w:rsidP="008F223F">
            <w:pPr>
              <w:spacing w:before="120" w:after="120" w:line="234" w:lineRule="atLeast"/>
              <w:ind w:firstLine="0"/>
              <w:jc w:val="center"/>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Stt</w:t>
            </w:r>
          </w:p>
        </w:tc>
        <w:tc>
          <w:tcPr>
            <w:tcW w:w="3700" w:type="pct"/>
            <w:hideMark/>
          </w:tcPr>
          <w:p w:rsidR="008F223F" w:rsidRPr="008F223F" w:rsidRDefault="008F223F" w:rsidP="008F223F">
            <w:pPr>
              <w:spacing w:before="120" w:after="120" w:line="234" w:lineRule="atLeast"/>
              <w:ind w:firstLine="0"/>
              <w:jc w:val="center"/>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Chỉ tiêu</w:t>
            </w:r>
          </w:p>
        </w:tc>
        <w:tc>
          <w:tcPr>
            <w:tcW w:w="900" w:type="pct"/>
            <w:hideMark/>
          </w:tcPr>
          <w:p w:rsidR="008F223F" w:rsidRPr="008F223F" w:rsidRDefault="008F223F" w:rsidP="008F223F">
            <w:pPr>
              <w:spacing w:before="120" w:after="120" w:line="234" w:lineRule="atLeast"/>
              <w:ind w:firstLine="0"/>
              <w:jc w:val="center"/>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Số tiền (*)</w:t>
            </w:r>
          </w:p>
        </w:tc>
      </w:tr>
      <w:tr w:rsidR="008F223F" w:rsidRPr="008F223F" w:rsidTr="008F223F">
        <w:tc>
          <w:tcPr>
            <w:tcW w:w="5000" w:type="pct"/>
            <w:gridSpan w:val="3"/>
            <w:hideMark/>
          </w:tcPr>
          <w:p w:rsidR="008F223F" w:rsidRPr="008F223F" w:rsidRDefault="008F223F" w:rsidP="008F223F">
            <w:pPr>
              <w:spacing w:before="120" w:after="120" w:line="234" w:lineRule="atLeast"/>
              <w:ind w:firstLine="0"/>
              <w:jc w:val="center"/>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Quỹ Dự trữ ngoại hối</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1</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Thu</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1.1</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1.2</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1.2.1</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1.2.2</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1.3</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Thu hồi tạm ứng</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Thu nợ cho vay từ Bộ Tài chính</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Đối tượng vay A</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Đối tượng vay B</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Điều chuyển từ Quỹ Bình ổn tỷ giá và quản lý thị trường vàng</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2</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Chi</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2.1</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2.1.1</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2.1.2</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2.2</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Trích ngoại tệ chuyển cho Bộ Tài chính</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Đối tượng A</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Đối tượng B</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Điều chuyển sang Quỹ Bình ổn tỷ giá và quản lý thị trường vàng</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3</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Trích Quỹ Dự trữ ngoại hối lũy kế trong năm …</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3.1.</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3.2.</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4</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Hoán đổi với Quỹ Bình ổn tỷ giá và quản lý thị trường vàng (**)</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5</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Hoán đổi theo thỏa thuận hoán đổi tiền tệ song phương và đa phương (**)</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5.1</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5.2</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Ngân hàng trung ương</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Tổ chức tài chính quốc tế</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5000" w:type="pct"/>
            <w:gridSpan w:val="3"/>
            <w:hideMark/>
          </w:tcPr>
          <w:p w:rsidR="008F223F" w:rsidRPr="008F223F" w:rsidRDefault="008F223F" w:rsidP="008F223F">
            <w:pPr>
              <w:spacing w:before="120" w:after="120" w:line="234" w:lineRule="atLeast"/>
              <w:ind w:firstLine="0"/>
              <w:jc w:val="center"/>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Quỹ Bình ổn tỷ giá và quản lý thị trường vàng</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1</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Thu</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1.1</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1.2</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lastRenderedPageBreak/>
              <w:t>1.3</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1.4</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1.5</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lastRenderedPageBreak/>
              <w:t>Mua từ Bộ Tài chính</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Mua từ các tổ chức tín dụng</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lastRenderedPageBreak/>
              <w:t>Mua từ các tổ chức quốc tế</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Mua khác</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Điều chuyển từ Quỹ Dự trữ ngoại hối</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lastRenderedPageBreak/>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2</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Chi</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2.1</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2.2</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Bán cho Bộ Tài chính</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Bán cho các tổ chức tín dụng</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2.2.1</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Bán cho các dự án được Chính phủ bảo lãnh và cam kết chuyển đổi ngoại tệ</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2.2.2</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2.3</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2.4</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Bán cho các mục đích khác</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Hình thức can thiệp ngoại tệ khác</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Điều chuyển sang Quỹ Dự trữ ngoại hối</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3</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Vàng thuộc Quỹ Bình ổn tỷ giá và quản lý thị trường vàng</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3.1</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3.2</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3.3</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Mua vàng từ thị trường</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Bán vàng can thiệp thị trường</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Hình thức can thiệp vàng khác</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4</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Hoán đổi với Quỹ Dự trữ ngoại hối (**)</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5000" w:type="pct"/>
            <w:gridSpan w:val="3"/>
            <w:hideMark/>
          </w:tcPr>
          <w:p w:rsidR="008F223F" w:rsidRPr="008F223F" w:rsidRDefault="008F223F" w:rsidP="008F223F">
            <w:pPr>
              <w:spacing w:before="120" w:after="120" w:line="234" w:lineRule="atLeast"/>
              <w:ind w:firstLine="0"/>
              <w:jc w:val="center"/>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Tiền gửi ngoại tệ và vàng của Kho bạc Nhà nước, các tổ chức tín dụng tại Ngân hàng Nhà nước và các nguồn ngoại hối khác</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1</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Gửi ngoại tệ và vàng</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1.1</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1.2</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1.3</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Kho bạc Nhà nước</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Tổ chức tín dụng</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Các nguồn ngoại hối khác</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2</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Rút ngoại tệ và vàng</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2.1</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2.2</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2.3</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Kho bạc Nhà nước</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Tổ chức tín dụng</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Các nguồn ngoại hối khác</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5000" w:type="pct"/>
            <w:gridSpan w:val="3"/>
            <w:hideMark/>
          </w:tcPr>
          <w:p w:rsidR="008F223F" w:rsidRPr="008F223F" w:rsidRDefault="008F223F" w:rsidP="008F223F">
            <w:pPr>
              <w:spacing w:before="120" w:after="120" w:line="234" w:lineRule="atLeast"/>
              <w:ind w:firstLine="0"/>
              <w:jc w:val="center"/>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Thu nhập và chi phí đầu tư dự trữ ngoại hối nhà nước</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1</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Thu nhập</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1.1</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1.2</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i/>
                <w:iCs/>
                <w:color w:val="000000"/>
                <w:kern w:val="0"/>
                <w:sz w:val="18"/>
                <w:szCs w:val="18"/>
                <w14:ligatures w14:val="none"/>
              </w:rPr>
              <w:t> </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Từ đầu tư dự trữ ngoại hối chính thức</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Từ đầu tư tiền gửi ngoại tệ và vàng của Kho bạc Nhà nước, các tổ chức tín dụng tại Ngân hàng Nhà nước và các nguồn ngoại hối khác</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2</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Chi phí</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r w:rsidR="008F223F" w:rsidRPr="008F223F" w:rsidTr="008F223F">
        <w:tc>
          <w:tcPr>
            <w:tcW w:w="4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2.1</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2.2</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i/>
                <w:iCs/>
                <w:color w:val="000000"/>
                <w:kern w:val="0"/>
                <w:sz w:val="18"/>
                <w:szCs w:val="18"/>
                <w14:ligatures w14:val="none"/>
              </w:rPr>
              <w:t> </w:t>
            </w:r>
          </w:p>
        </w:tc>
        <w:tc>
          <w:tcPr>
            <w:tcW w:w="37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Từ đầu tư dự trữ ngoại hối chính thức</w:t>
            </w:r>
          </w:p>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Từ đầu tư tiền gửi ngoại tệ và vàng của Kho bạc Nhà nước, các tổ chức tín dụng tại Ngân hàng Nhà nước và các nguồn ngoại hối khác</w:t>
            </w:r>
          </w:p>
        </w:tc>
        <w:tc>
          <w:tcPr>
            <w:tcW w:w="900" w:type="pct"/>
            <w:hideMark/>
          </w:tcPr>
          <w:p w:rsidR="008F223F" w:rsidRPr="008F223F" w:rsidRDefault="008F223F" w:rsidP="008F223F">
            <w:pPr>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bl>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30"/>
        <w:gridCol w:w="3175"/>
        <w:gridCol w:w="3176"/>
      </w:tblGrid>
      <w:tr w:rsidR="008F223F" w:rsidRPr="008F223F" w:rsidTr="008F223F">
        <w:trPr>
          <w:tblCellSpacing w:w="0" w:type="dxa"/>
        </w:trPr>
        <w:tc>
          <w:tcPr>
            <w:tcW w:w="1450" w:type="pct"/>
            <w:shd w:val="clear" w:color="auto" w:fill="FFFFFF"/>
            <w:hideMark/>
          </w:tcPr>
          <w:p w:rsidR="008F223F" w:rsidRPr="008F223F" w:rsidRDefault="008F223F" w:rsidP="008F223F">
            <w:pPr>
              <w:spacing w:before="120" w:after="120" w:line="234" w:lineRule="atLeast"/>
              <w:ind w:firstLine="0"/>
              <w:jc w:val="center"/>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lastRenderedPageBreak/>
              <w:t> </w:t>
            </w:r>
          </w:p>
        </w:tc>
        <w:tc>
          <w:tcPr>
            <w:tcW w:w="3500" w:type="pct"/>
            <w:gridSpan w:val="2"/>
            <w:shd w:val="clear" w:color="auto" w:fill="FFFFFF"/>
            <w:hideMark/>
          </w:tcPr>
          <w:p w:rsidR="008F223F" w:rsidRPr="008F223F" w:rsidRDefault="008F223F" w:rsidP="008F223F">
            <w:pPr>
              <w:spacing w:before="120" w:after="120" w:line="234" w:lineRule="atLeast"/>
              <w:ind w:firstLine="0"/>
              <w:jc w:val="right"/>
              <w:rPr>
                <w:rFonts w:ascii="Arial" w:eastAsia="Times New Roman" w:hAnsi="Arial" w:cs="Arial"/>
                <w:color w:val="000000"/>
                <w:kern w:val="0"/>
                <w:sz w:val="18"/>
                <w:szCs w:val="18"/>
                <w14:ligatures w14:val="none"/>
              </w:rPr>
            </w:pPr>
            <w:r w:rsidRPr="008F223F">
              <w:rPr>
                <w:rFonts w:ascii="Arial" w:eastAsia="Times New Roman" w:hAnsi="Arial" w:cs="Arial"/>
                <w:i/>
                <w:iCs/>
                <w:color w:val="000000"/>
                <w:kern w:val="0"/>
                <w:sz w:val="18"/>
                <w:szCs w:val="18"/>
                <w14:ligatures w14:val="none"/>
              </w:rPr>
              <w:t>Hà Nội, ngày ….tháng ….năm ……</w:t>
            </w:r>
          </w:p>
        </w:tc>
      </w:tr>
      <w:tr w:rsidR="008F223F" w:rsidRPr="008F223F" w:rsidTr="008F223F">
        <w:trPr>
          <w:tblCellSpacing w:w="0" w:type="dxa"/>
        </w:trPr>
        <w:tc>
          <w:tcPr>
            <w:tcW w:w="1450" w:type="pct"/>
            <w:shd w:val="clear" w:color="auto" w:fill="FFFFFF"/>
            <w:hideMark/>
          </w:tcPr>
          <w:p w:rsidR="008F223F" w:rsidRPr="008F223F" w:rsidRDefault="008F223F" w:rsidP="008F223F">
            <w:pPr>
              <w:spacing w:before="120" w:after="120" w:line="234" w:lineRule="atLeast"/>
              <w:ind w:firstLine="0"/>
              <w:jc w:val="center"/>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Lập biểu</w:t>
            </w:r>
          </w:p>
        </w:tc>
        <w:tc>
          <w:tcPr>
            <w:tcW w:w="1750" w:type="pct"/>
            <w:shd w:val="clear" w:color="auto" w:fill="FFFFFF"/>
            <w:hideMark/>
          </w:tcPr>
          <w:p w:rsidR="008F223F" w:rsidRPr="008F223F" w:rsidRDefault="008F223F" w:rsidP="008F223F">
            <w:pPr>
              <w:spacing w:before="120" w:after="120" w:line="234" w:lineRule="atLeast"/>
              <w:ind w:firstLine="0"/>
              <w:jc w:val="center"/>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Kiểm soát</w:t>
            </w:r>
          </w:p>
        </w:tc>
        <w:tc>
          <w:tcPr>
            <w:tcW w:w="1750" w:type="pct"/>
            <w:shd w:val="clear" w:color="auto" w:fill="FFFFFF"/>
            <w:hideMark/>
          </w:tcPr>
          <w:p w:rsidR="008F223F" w:rsidRPr="008F223F" w:rsidRDefault="008F223F" w:rsidP="008F223F">
            <w:pPr>
              <w:spacing w:before="120" w:after="120" w:line="234" w:lineRule="atLeast"/>
              <w:ind w:firstLine="0"/>
              <w:jc w:val="center"/>
              <w:rPr>
                <w:rFonts w:ascii="Arial" w:eastAsia="Times New Roman" w:hAnsi="Arial" w:cs="Arial"/>
                <w:color w:val="000000"/>
                <w:kern w:val="0"/>
                <w:sz w:val="18"/>
                <w:szCs w:val="18"/>
                <w14:ligatures w14:val="none"/>
              </w:rPr>
            </w:pPr>
            <w:r w:rsidRPr="008F223F">
              <w:rPr>
                <w:rFonts w:ascii="Arial" w:eastAsia="Times New Roman" w:hAnsi="Arial" w:cs="Arial"/>
                <w:b/>
                <w:bCs/>
                <w:color w:val="000000"/>
                <w:kern w:val="0"/>
                <w:sz w:val="18"/>
                <w:szCs w:val="18"/>
                <w14:ligatures w14:val="none"/>
              </w:rPr>
              <w:t>Thủ trưởng đơn vị</w:t>
            </w:r>
          </w:p>
          <w:p w:rsidR="008F223F" w:rsidRPr="008F223F" w:rsidRDefault="008F223F" w:rsidP="008F223F">
            <w:pPr>
              <w:spacing w:before="120" w:after="120" w:line="234" w:lineRule="atLeast"/>
              <w:ind w:firstLine="0"/>
              <w:jc w:val="center"/>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w:t>
            </w:r>
          </w:p>
        </w:tc>
      </w:tr>
    </w:tbl>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i/>
          <w:iCs/>
          <w:color w:val="000000"/>
          <w:kern w:val="0"/>
          <w:sz w:val="18"/>
          <w:szCs w:val="18"/>
          <w14:ligatures w14:val="none"/>
        </w:rPr>
        <w:t>1. Đối tượng áp dụng:</w:t>
      </w:r>
    </w:p>
    <w:p w:rsidR="008F223F" w:rsidRPr="008F223F" w:rsidRDefault="008F223F" w:rsidP="008F223F">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Sở Giao dịch thực hiện đến khi Thống đốc quyết định về việc phân công nhiệm vụ hạch toán giữa Cục Quản lý dự trữ ngoại hối nhà nước và Sở Giao dịch theo quy định tại </w:t>
      </w:r>
      <w:bookmarkStart w:id="3" w:name="dc_60"/>
      <w:r w:rsidRPr="008F223F">
        <w:rPr>
          <w:rFonts w:ascii="Arial" w:eastAsia="Times New Roman" w:hAnsi="Arial" w:cs="Arial"/>
          <w:color w:val="000000"/>
          <w:kern w:val="0"/>
          <w:sz w:val="18"/>
          <w:szCs w:val="18"/>
          <w14:ligatures w14:val="none"/>
        </w:rPr>
        <w:t>Điều 13 Thông tư số 12/2023/TT-NHNN</w:t>
      </w:r>
      <w:bookmarkEnd w:id="3"/>
      <w:r w:rsidRPr="008F223F">
        <w:rPr>
          <w:rFonts w:ascii="Arial" w:eastAsia="Times New Roman" w:hAnsi="Arial" w:cs="Arial"/>
          <w:color w:val="000000"/>
          <w:kern w:val="0"/>
          <w:sz w:val="18"/>
          <w:szCs w:val="18"/>
          <w14:ligatures w14:val="none"/>
        </w:rPr>
        <w:t>.</w:t>
      </w:r>
    </w:p>
    <w:p w:rsidR="008F223F" w:rsidRPr="008F223F" w:rsidRDefault="008F223F" w:rsidP="008F223F">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Cục Quản lý dự trữ ngoại hối nhà nước thực hiện kể từ khi Thống đốc quyết định về việc phân công nhiệm vụ hạch toán giữa Cục Quản lý dự trữ ngoại hối nhà nước và Sở Giao dịch theo quy định tại </w:t>
      </w:r>
      <w:bookmarkStart w:id="4" w:name="dc_61"/>
      <w:r w:rsidRPr="008F223F">
        <w:rPr>
          <w:rFonts w:ascii="Arial" w:eastAsia="Times New Roman" w:hAnsi="Arial" w:cs="Arial"/>
          <w:color w:val="000000"/>
          <w:kern w:val="0"/>
          <w:sz w:val="18"/>
          <w:szCs w:val="18"/>
          <w14:ligatures w14:val="none"/>
        </w:rPr>
        <w:t>Điều 13 Thông tư số 12/2023/TT-NHNN</w:t>
      </w:r>
      <w:bookmarkEnd w:id="4"/>
      <w:r w:rsidRPr="008F223F">
        <w:rPr>
          <w:rFonts w:ascii="Arial" w:eastAsia="Times New Roman" w:hAnsi="Arial" w:cs="Arial"/>
          <w:color w:val="000000"/>
          <w:kern w:val="0"/>
          <w:sz w:val="18"/>
          <w:szCs w:val="18"/>
          <w14:ligatures w14:val="none"/>
        </w:rPr>
        <w:t>.</w:t>
      </w:r>
    </w:p>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i/>
          <w:iCs/>
          <w:color w:val="000000"/>
          <w:kern w:val="0"/>
          <w:sz w:val="18"/>
          <w:szCs w:val="18"/>
          <w14:ligatures w14:val="none"/>
        </w:rPr>
        <w:t>2. Thời hạn gửi báo cáo: </w:t>
      </w:r>
      <w:r w:rsidRPr="008F223F">
        <w:rPr>
          <w:rFonts w:ascii="Arial" w:eastAsia="Times New Roman" w:hAnsi="Arial" w:cs="Arial"/>
          <w:color w:val="000000"/>
          <w:kern w:val="0"/>
          <w:sz w:val="18"/>
          <w:szCs w:val="18"/>
          <w14:ligatures w14:val="none"/>
        </w:rPr>
        <w:t>Muộn nhất ngày 05 của tháng ngay sau tháng báo cáo.</w:t>
      </w:r>
    </w:p>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i/>
          <w:iCs/>
          <w:color w:val="000000"/>
          <w:kern w:val="0"/>
          <w:sz w:val="18"/>
          <w:szCs w:val="18"/>
          <w14:ligatures w14:val="none"/>
        </w:rPr>
        <w:t>3. Hình thức báo cáo:</w:t>
      </w:r>
      <w:r w:rsidRPr="008F223F">
        <w:rPr>
          <w:rFonts w:ascii="Arial" w:eastAsia="Times New Roman" w:hAnsi="Arial" w:cs="Arial"/>
          <w:color w:val="000000"/>
          <w:kern w:val="0"/>
          <w:sz w:val="18"/>
          <w:szCs w:val="18"/>
          <w14:ligatures w14:val="none"/>
        </w:rPr>
        <w:t> Văn bản hoặc báo cáo điện tử.</w:t>
      </w:r>
    </w:p>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i/>
          <w:iCs/>
          <w:color w:val="000000"/>
          <w:kern w:val="0"/>
          <w:sz w:val="18"/>
          <w:szCs w:val="18"/>
          <w14:ligatures w14:val="none"/>
        </w:rPr>
        <w:t>4. Đơn vị nhận báo cáo:</w:t>
      </w:r>
    </w:p>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4.1. Trong giai đoạn Sở Giao dịch lập báo cáo này: Thống đốc, các Phó Thống đốc có liên quan, Cục Quản lý dự trữ ngoại hối nhà nước, Vụ Chính sách tiền tệ, Vụ Kiểm toán nội bộ, Vụ Dự báo, thống kê.</w:t>
      </w:r>
    </w:p>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4.2. Kể từ khi Cục Quản lý dự trữ ngoại hối nhà nước lập báo cáo này: Thống đốc, các Phó Thống đốc có liên quan, Vụ Chính sách tiền tệ, Vụ Kiểm toán nội bộ, Vụ Dự báo, thống kê.</w:t>
      </w:r>
    </w:p>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b/>
          <w:bCs/>
          <w:i/>
          <w:iCs/>
          <w:color w:val="000000"/>
          <w:kern w:val="0"/>
          <w:sz w:val="18"/>
          <w:szCs w:val="18"/>
          <w14:ligatures w14:val="none"/>
        </w:rPr>
        <w:t>5. Hướng dẫn lập báo cáo:</w:t>
      </w:r>
    </w:p>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Tỷ giá để quy đổi từ các loại ngoại tệ ra USD là tỷ giá do Cục Quản lý dự trữ ngoại hối nhà nước xác định trên cơ sở tỷ giá bình quân của giá mua và giá bán được niêm yết trên Refinitiv trước 10 giờ sáng ngày báo cáo.</w:t>
      </w:r>
    </w:p>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Giá vàng để quy đổi ra USD là giá vàng do Cục Quản lý dự trữ ngoại hối nhà nước xác định hàng ngày.</w:t>
      </w:r>
    </w:p>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Các số liệu trong báo cáo là giá trị ghi sổ trên tài khoản kế toán vào ngày báo cáo.</w:t>
      </w:r>
    </w:p>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 Số tiền = Số tiền theo nguyên tệ phát sinh trong kỳ * Tỷ giá nguyên tệ/Tỷ giá USD.</w:t>
      </w:r>
    </w:p>
    <w:p w:rsidR="008F223F" w:rsidRPr="008F223F" w:rsidRDefault="008F223F" w:rsidP="008F223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23F">
        <w:rPr>
          <w:rFonts w:ascii="Arial" w:eastAsia="Times New Roman" w:hAnsi="Arial" w:cs="Arial"/>
          <w:color w:val="000000"/>
          <w:kern w:val="0"/>
          <w:sz w:val="18"/>
          <w:szCs w:val="18"/>
          <w14:ligatures w14:val="none"/>
        </w:rPr>
        <w:t>- (**) Việc hoán đổi không thay đổi số dư quy USD của hai Quỹ tại thời điểm hoán đổi. Sau thời điểm hoán đổi, giá trị khoản hoán đổi sẽ được đánh giá lại theo quy định hiện hành.</w:t>
      </w:r>
    </w:p>
    <w:p w:rsidR="0088021A" w:rsidRPr="008F223F" w:rsidRDefault="0088021A" w:rsidP="008F223F"/>
    <w:sectPr w:rsidR="0088021A" w:rsidRPr="008F223F"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BC"/>
    <w:rsid w:val="002E27CC"/>
    <w:rsid w:val="003B5E03"/>
    <w:rsid w:val="0043709D"/>
    <w:rsid w:val="004B4B9D"/>
    <w:rsid w:val="00545602"/>
    <w:rsid w:val="006E0934"/>
    <w:rsid w:val="00804912"/>
    <w:rsid w:val="0088021A"/>
    <w:rsid w:val="008F223F"/>
    <w:rsid w:val="009532CB"/>
    <w:rsid w:val="009D31A8"/>
    <w:rsid w:val="009D3CE6"/>
    <w:rsid w:val="00A03B3C"/>
    <w:rsid w:val="00D53B95"/>
    <w:rsid w:val="00D5773A"/>
    <w:rsid w:val="00E85F00"/>
    <w:rsid w:val="00F73FBC"/>
    <w:rsid w:val="00F9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9D3A"/>
  <w15:chartTrackingRefBased/>
  <w15:docId w15:val="{DF794402-C364-434B-B3B1-01EC2EBA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FBC"/>
    <w:rPr>
      <w:color w:val="0563C1" w:themeColor="hyperlink"/>
      <w:u w:val="single"/>
    </w:rPr>
  </w:style>
  <w:style w:type="character" w:styleId="UnresolvedMention">
    <w:name w:val="Unresolved Mention"/>
    <w:basedOn w:val="DefaultParagraphFont"/>
    <w:uiPriority w:val="99"/>
    <w:semiHidden/>
    <w:unhideWhenUsed/>
    <w:rsid w:val="00F73FBC"/>
    <w:rPr>
      <w:color w:val="605E5C"/>
      <w:shd w:val="clear" w:color="auto" w:fill="E1DFDD"/>
    </w:rPr>
  </w:style>
  <w:style w:type="table" w:styleId="TableGrid">
    <w:name w:val="Table Grid"/>
    <w:basedOn w:val="TableNormal"/>
    <w:uiPriority w:val="39"/>
    <w:rsid w:val="004B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0741">
      <w:bodyDiv w:val="1"/>
      <w:marLeft w:val="0"/>
      <w:marRight w:val="0"/>
      <w:marTop w:val="0"/>
      <w:marBottom w:val="0"/>
      <w:divBdr>
        <w:top w:val="none" w:sz="0" w:space="0" w:color="auto"/>
        <w:left w:val="none" w:sz="0" w:space="0" w:color="auto"/>
        <w:bottom w:val="none" w:sz="0" w:space="0" w:color="auto"/>
        <w:right w:val="none" w:sz="0" w:space="0" w:color="auto"/>
      </w:divBdr>
    </w:div>
    <w:div w:id="64226058">
      <w:bodyDiv w:val="1"/>
      <w:marLeft w:val="0"/>
      <w:marRight w:val="0"/>
      <w:marTop w:val="0"/>
      <w:marBottom w:val="0"/>
      <w:divBdr>
        <w:top w:val="none" w:sz="0" w:space="0" w:color="auto"/>
        <w:left w:val="none" w:sz="0" w:space="0" w:color="auto"/>
        <w:bottom w:val="none" w:sz="0" w:space="0" w:color="auto"/>
        <w:right w:val="none" w:sz="0" w:space="0" w:color="auto"/>
      </w:divBdr>
    </w:div>
    <w:div w:id="74866365">
      <w:bodyDiv w:val="1"/>
      <w:marLeft w:val="0"/>
      <w:marRight w:val="0"/>
      <w:marTop w:val="0"/>
      <w:marBottom w:val="0"/>
      <w:divBdr>
        <w:top w:val="none" w:sz="0" w:space="0" w:color="auto"/>
        <w:left w:val="none" w:sz="0" w:space="0" w:color="auto"/>
        <w:bottom w:val="none" w:sz="0" w:space="0" w:color="auto"/>
        <w:right w:val="none" w:sz="0" w:space="0" w:color="auto"/>
      </w:divBdr>
    </w:div>
    <w:div w:id="321742907">
      <w:bodyDiv w:val="1"/>
      <w:marLeft w:val="0"/>
      <w:marRight w:val="0"/>
      <w:marTop w:val="0"/>
      <w:marBottom w:val="0"/>
      <w:divBdr>
        <w:top w:val="none" w:sz="0" w:space="0" w:color="auto"/>
        <w:left w:val="none" w:sz="0" w:space="0" w:color="auto"/>
        <w:bottom w:val="none" w:sz="0" w:space="0" w:color="auto"/>
        <w:right w:val="none" w:sz="0" w:space="0" w:color="auto"/>
      </w:divBdr>
    </w:div>
    <w:div w:id="474567717">
      <w:bodyDiv w:val="1"/>
      <w:marLeft w:val="0"/>
      <w:marRight w:val="0"/>
      <w:marTop w:val="0"/>
      <w:marBottom w:val="0"/>
      <w:divBdr>
        <w:top w:val="none" w:sz="0" w:space="0" w:color="auto"/>
        <w:left w:val="none" w:sz="0" w:space="0" w:color="auto"/>
        <w:bottom w:val="none" w:sz="0" w:space="0" w:color="auto"/>
        <w:right w:val="none" w:sz="0" w:space="0" w:color="auto"/>
      </w:divBdr>
    </w:div>
    <w:div w:id="497968168">
      <w:bodyDiv w:val="1"/>
      <w:marLeft w:val="0"/>
      <w:marRight w:val="0"/>
      <w:marTop w:val="0"/>
      <w:marBottom w:val="0"/>
      <w:divBdr>
        <w:top w:val="none" w:sz="0" w:space="0" w:color="auto"/>
        <w:left w:val="none" w:sz="0" w:space="0" w:color="auto"/>
        <w:bottom w:val="none" w:sz="0" w:space="0" w:color="auto"/>
        <w:right w:val="none" w:sz="0" w:space="0" w:color="auto"/>
      </w:divBdr>
    </w:div>
    <w:div w:id="544368095">
      <w:bodyDiv w:val="1"/>
      <w:marLeft w:val="0"/>
      <w:marRight w:val="0"/>
      <w:marTop w:val="0"/>
      <w:marBottom w:val="0"/>
      <w:divBdr>
        <w:top w:val="none" w:sz="0" w:space="0" w:color="auto"/>
        <w:left w:val="none" w:sz="0" w:space="0" w:color="auto"/>
        <w:bottom w:val="none" w:sz="0" w:space="0" w:color="auto"/>
        <w:right w:val="none" w:sz="0" w:space="0" w:color="auto"/>
      </w:divBdr>
    </w:div>
    <w:div w:id="634992617">
      <w:bodyDiv w:val="1"/>
      <w:marLeft w:val="0"/>
      <w:marRight w:val="0"/>
      <w:marTop w:val="0"/>
      <w:marBottom w:val="0"/>
      <w:divBdr>
        <w:top w:val="none" w:sz="0" w:space="0" w:color="auto"/>
        <w:left w:val="none" w:sz="0" w:space="0" w:color="auto"/>
        <w:bottom w:val="none" w:sz="0" w:space="0" w:color="auto"/>
        <w:right w:val="none" w:sz="0" w:space="0" w:color="auto"/>
      </w:divBdr>
    </w:div>
    <w:div w:id="735126201">
      <w:bodyDiv w:val="1"/>
      <w:marLeft w:val="0"/>
      <w:marRight w:val="0"/>
      <w:marTop w:val="0"/>
      <w:marBottom w:val="0"/>
      <w:divBdr>
        <w:top w:val="none" w:sz="0" w:space="0" w:color="auto"/>
        <w:left w:val="none" w:sz="0" w:space="0" w:color="auto"/>
        <w:bottom w:val="none" w:sz="0" w:space="0" w:color="auto"/>
        <w:right w:val="none" w:sz="0" w:space="0" w:color="auto"/>
      </w:divBdr>
    </w:div>
    <w:div w:id="873927201">
      <w:bodyDiv w:val="1"/>
      <w:marLeft w:val="0"/>
      <w:marRight w:val="0"/>
      <w:marTop w:val="0"/>
      <w:marBottom w:val="0"/>
      <w:divBdr>
        <w:top w:val="none" w:sz="0" w:space="0" w:color="auto"/>
        <w:left w:val="none" w:sz="0" w:space="0" w:color="auto"/>
        <w:bottom w:val="none" w:sz="0" w:space="0" w:color="auto"/>
        <w:right w:val="none" w:sz="0" w:space="0" w:color="auto"/>
      </w:divBdr>
    </w:div>
    <w:div w:id="908735004">
      <w:bodyDiv w:val="1"/>
      <w:marLeft w:val="0"/>
      <w:marRight w:val="0"/>
      <w:marTop w:val="0"/>
      <w:marBottom w:val="0"/>
      <w:divBdr>
        <w:top w:val="none" w:sz="0" w:space="0" w:color="auto"/>
        <w:left w:val="none" w:sz="0" w:space="0" w:color="auto"/>
        <w:bottom w:val="none" w:sz="0" w:space="0" w:color="auto"/>
        <w:right w:val="none" w:sz="0" w:space="0" w:color="auto"/>
      </w:divBdr>
    </w:div>
    <w:div w:id="931746594">
      <w:bodyDiv w:val="1"/>
      <w:marLeft w:val="0"/>
      <w:marRight w:val="0"/>
      <w:marTop w:val="0"/>
      <w:marBottom w:val="0"/>
      <w:divBdr>
        <w:top w:val="none" w:sz="0" w:space="0" w:color="auto"/>
        <w:left w:val="none" w:sz="0" w:space="0" w:color="auto"/>
        <w:bottom w:val="none" w:sz="0" w:space="0" w:color="auto"/>
        <w:right w:val="none" w:sz="0" w:space="0" w:color="auto"/>
      </w:divBdr>
    </w:div>
    <w:div w:id="1087115264">
      <w:bodyDiv w:val="1"/>
      <w:marLeft w:val="0"/>
      <w:marRight w:val="0"/>
      <w:marTop w:val="0"/>
      <w:marBottom w:val="0"/>
      <w:divBdr>
        <w:top w:val="none" w:sz="0" w:space="0" w:color="auto"/>
        <w:left w:val="none" w:sz="0" w:space="0" w:color="auto"/>
        <w:bottom w:val="none" w:sz="0" w:space="0" w:color="auto"/>
        <w:right w:val="none" w:sz="0" w:space="0" w:color="auto"/>
      </w:divBdr>
    </w:div>
    <w:div w:id="1209801436">
      <w:bodyDiv w:val="1"/>
      <w:marLeft w:val="0"/>
      <w:marRight w:val="0"/>
      <w:marTop w:val="0"/>
      <w:marBottom w:val="0"/>
      <w:divBdr>
        <w:top w:val="none" w:sz="0" w:space="0" w:color="auto"/>
        <w:left w:val="none" w:sz="0" w:space="0" w:color="auto"/>
        <w:bottom w:val="none" w:sz="0" w:space="0" w:color="auto"/>
        <w:right w:val="none" w:sz="0" w:space="0" w:color="auto"/>
      </w:divBdr>
    </w:div>
    <w:div w:id="1386947009">
      <w:bodyDiv w:val="1"/>
      <w:marLeft w:val="0"/>
      <w:marRight w:val="0"/>
      <w:marTop w:val="0"/>
      <w:marBottom w:val="0"/>
      <w:divBdr>
        <w:top w:val="none" w:sz="0" w:space="0" w:color="auto"/>
        <w:left w:val="none" w:sz="0" w:space="0" w:color="auto"/>
        <w:bottom w:val="none" w:sz="0" w:space="0" w:color="auto"/>
        <w:right w:val="none" w:sz="0" w:space="0" w:color="auto"/>
      </w:divBdr>
    </w:div>
    <w:div w:id="1465150123">
      <w:bodyDiv w:val="1"/>
      <w:marLeft w:val="0"/>
      <w:marRight w:val="0"/>
      <w:marTop w:val="0"/>
      <w:marBottom w:val="0"/>
      <w:divBdr>
        <w:top w:val="none" w:sz="0" w:space="0" w:color="auto"/>
        <w:left w:val="none" w:sz="0" w:space="0" w:color="auto"/>
        <w:bottom w:val="none" w:sz="0" w:space="0" w:color="auto"/>
        <w:right w:val="none" w:sz="0" w:space="0" w:color="auto"/>
      </w:divBdr>
    </w:div>
    <w:div w:id="1485391232">
      <w:bodyDiv w:val="1"/>
      <w:marLeft w:val="0"/>
      <w:marRight w:val="0"/>
      <w:marTop w:val="0"/>
      <w:marBottom w:val="0"/>
      <w:divBdr>
        <w:top w:val="none" w:sz="0" w:space="0" w:color="auto"/>
        <w:left w:val="none" w:sz="0" w:space="0" w:color="auto"/>
        <w:bottom w:val="none" w:sz="0" w:space="0" w:color="auto"/>
        <w:right w:val="none" w:sz="0" w:space="0" w:color="auto"/>
      </w:divBdr>
    </w:div>
    <w:div w:id="1497265357">
      <w:bodyDiv w:val="1"/>
      <w:marLeft w:val="0"/>
      <w:marRight w:val="0"/>
      <w:marTop w:val="0"/>
      <w:marBottom w:val="0"/>
      <w:divBdr>
        <w:top w:val="none" w:sz="0" w:space="0" w:color="auto"/>
        <w:left w:val="none" w:sz="0" w:space="0" w:color="auto"/>
        <w:bottom w:val="none" w:sz="0" w:space="0" w:color="auto"/>
        <w:right w:val="none" w:sz="0" w:space="0" w:color="auto"/>
      </w:divBdr>
    </w:div>
    <w:div w:id="1509827122">
      <w:bodyDiv w:val="1"/>
      <w:marLeft w:val="0"/>
      <w:marRight w:val="0"/>
      <w:marTop w:val="0"/>
      <w:marBottom w:val="0"/>
      <w:divBdr>
        <w:top w:val="none" w:sz="0" w:space="0" w:color="auto"/>
        <w:left w:val="none" w:sz="0" w:space="0" w:color="auto"/>
        <w:bottom w:val="none" w:sz="0" w:space="0" w:color="auto"/>
        <w:right w:val="none" w:sz="0" w:space="0" w:color="auto"/>
      </w:divBdr>
    </w:div>
    <w:div w:id="1533155085">
      <w:bodyDiv w:val="1"/>
      <w:marLeft w:val="0"/>
      <w:marRight w:val="0"/>
      <w:marTop w:val="0"/>
      <w:marBottom w:val="0"/>
      <w:divBdr>
        <w:top w:val="none" w:sz="0" w:space="0" w:color="auto"/>
        <w:left w:val="none" w:sz="0" w:space="0" w:color="auto"/>
        <w:bottom w:val="none" w:sz="0" w:space="0" w:color="auto"/>
        <w:right w:val="none" w:sz="0" w:space="0" w:color="auto"/>
      </w:divBdr>
    </w:div>
    <w:div w:id="1734814064">
      <w:bodyDiv w:val="1"/>
      <w:marLeft w:val="0"/>
      <w:marRight w:val="0"/>
      <w:marTop w:val="0"/>
      <w:marBottom w:val="0"/>
      <w:divBdr>
        <w:top w:val="none" w:sz="0" w:space="0" w:color="auto"/>
        <w:left w:val="none" w:sz="0" w:space="0" w:color="auto"/>
        <w:bottom w:val="none" w:sz="0" w:space="0" w:color="auto"/>
        <w:right w:val="none" w:sz="0" w:space="0" w:color="auto"/>
      </w:divBdr>
    </w:div>
    <w:div w:id="1743599729">
      <w:bodyDiv w:val="1"/>
      <w:marLeft w:val="0"/>
      <w:marRight w:val="0"/>
      <w:marTop w:val="0"/>
      <w:marBottom w:val="0"/>
      <w:divBdr>
        <w:top w:val="none" w:sz="0" w:space="0" w:color="auto"/>
        <w:left w:val="none" w:sz="0" w:space="0" w:color="auto"/>
        <w:bottom w:val="none" w:sz="0" w:space="0" w:color="auto"/>
        <w:right w:val="none" w:sz="0" w:space="0" w:color="auto"/>
      </w:divBdr>
    </w:div>
    <w:div w:id="1764761142">
      <w:bodyDiv w:val="1"/>
      <w:marLeft w:val="0"/>
      <w:marRight w:val="0"/>
      <w:marTop w:val="0"/>
      <w:marBottom w:val="0"/>
      <w:divBdr>
        <w:top w:val="none" w:sz="0" w:space="0" w:color="auto"/>
        <w:left w:val="none" w:sz="0" w:space="0" w:color="auto"/>
        <w:bottom w:val="none" w:sz="0" w:space="0" w:color="auto"/>
        <w:right w:val="none" w:sz="0" w:space="0" w:color="auto"/>
      </w:divBdr>
    </w:div>
    <w:div w:id="18208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2024-08-15T04:24:00Z</dcterms:created>
  <dcterms:modified xsi:type="dcterms:W3CDTF">2024-08-15T04:24:00Z</dcterms:modified>
</cp:coreProperties>
</file>