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32C1" w:rsidRPr="00BE32C1" w:rsidRDefault="00BE32C1" w:rsidP="00BE32C1">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5"/>
      <w:r w:rsidRPr="00BE32C1">
        <w:rPr>
          <w:rFonts w:ascii="Arial" w:eastAsia="Times New Roman" w:hAnsi="Arial" w:cs="Arial"/>
          <w:b/>
          <w:bCs/>
          <w:color w:val="000000"/>
          <w:kern w:val="0"/>
          <w:sz w:val="18"/>
          <w:szCs w:val="18"/>
          <w14:ligatures w14:val="none"/>
        </w:rPr>
        <w:t>PHỤ LỤC SỐ 07</w:t>
      </w:r>
      <w:bookmarkEnd w:id="0"/>
    </w:p>
    <w:p w:rsidR="00BE32C1" w:rsidRPr="00BE32C1" w:rsidRDefault="00BE32C1" w:rsidP="00BE32C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(Ban hành kèm theo Thông tư số 43/2024/TT-NHNN ngày 09/8/2024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BE32C1" w:rsidRPr="00BE32C1" w:rsidTr="00BE32C1">
        <w:trPr>
          <w:tblCellSpacing w:w="0" w:type="dxa"/>
        </w:trPr>
        <w:tc>
          <w:tcPr>
            <w:tcW w:w="2250" w:type="pct"/>
            <w:shd w:val="clear" w:color="auto" w:fill="FFFFFF"/>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Đơn vị báo cáo: …….</w:t>
            </w:r>
          </w:p>
        </w:tc>
        <w:tc>
          <w:tcPr>
            <w:tcW w:w="2700" w:type="pct"/>
            <w:shd w:val="clear" w:color="auto" w:fill="FFFFFF"/>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 </w:t>
            </w:r>
          </w:p>
        </w:tc>
      </w:tr>
    </w:tbl>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 </w:t>
      </w:r>
    </w:p>
    <w:p w:rsidR="00BE32C1" w:rsidRPr="00BE32C1" w:rsidRDefault="00BE32C1" w:rsidP="00BE32C1">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5_name"/>
      <w:r w:rsidRPr="00BE32C1">
        <w:rPr>
          <w:rFonts w:ascii="Arial" w:eastAsia="Times New Roman" w:hAnsi="Arial" w:cs="Arial"/>
          <w:b/>
          <w:bCs/>
          <w:color w:val="000000"/>
          <w:kern w:val="0"/>
          <w:sz w:val="18"/>
          <w:szCs w:val="18"/>
          <w14:ligatures w14:val="none"/>
        </w:rPr>
        <w:t>BÁO CÁO TÌNH HÌNH ĐẦU TƯ DỰ TRỮ NGOẠI HỐI NHÀ NƯỚC TẠI NƯỚC NGOÀI THEO ĐỐI TÁC ĐẦU TƯ</w:t>
      </w:r>
      <w:bookmarkEnd w:id="1"/>
      <w:r w:rsidRPr="00BE32C1">
        <w:rPr>
          <w:rFonts w:ascii="Arial" w:eastAsia="Times New Roman" w:hAnsi="Arial" w:cs="Arial"/>
          <w:color w:val="000000"/>
          <w:kern w:val="0"/>
          <w:sz w:val="18"/>
          <w:szCs w:val="18"/>
          <w14:ligatures w14:val="none"/>
        </w:rPr>
        <w:br/>
      </w:r>
      <w:r w:rsidRPr="00BE32C1">
        <w:rPr>
          <w:rFonts w:ascii="Arial" w:eastAsia="Times New Roman" w:hAnsi="Arial" w:cs="Arial"/>
          <w:i/>
          <w:iCs/>
          <w:color w:val="000000"/>
          <w:kern w:val="0"/>
          <w:sz w:val="18"/>
          <w:szCs w:val="18"/>
          <w14:ligatures w14:val="none"/>
        </w:rPr>
        <w:t>(Tháng….năm….)</w:t>
      </w:r>
    </w:p>
    <w:p w:rsidR="00BE32C1" w:rsidRPr="00BE32C1" w:rsidRDefault="00BE32C1" w:rsidP="00BE32C1">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Đơn vị: Nguyên tệ, USD</w:t>
      </w:r>
    </w:p>
    <w:tbl>
      <w:tblPr>
        <w:tblStyle w:val="TableGrid"/>
        <w:tblW w:w="5000" w:type="pct"/>
        <w:tblLook w:val="04A0" w:firstRow="1" w:lastRow="0" w:firstColumn="1" w:lastColumn="0" w:noHBand="0" w:noVBand="1"/>
      </w:tblPr>
      <w:tblGrid>
        <w:gridCol w:w="641"/>
        <w:gridCol w:w="3203"/>
        <w:gridCol w:w="1831"/>
        <w:gridCol w:w="1740"/>
        <w:gridCol w:w="1647"/>
      </w:tblGrid>
      <w:tr w:rsidR="00BE32C1" w:rsidRPr="00BE32C1" w:rsidTr="00BE32C1">
        <w:tc>
          <w:tcPr>
            <w:tcW w:w="350" w:type="pct"/>
            <w:vMerge w:val="restar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Stt</w:t>
            </w:r>
          </w:p>
        </w:tc>
        <w:tc>
          <w:tcPr>
            <w:tcW w:w="1750" w:type="pct"/>
            <w:vMerge w:val="restar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Chỉ tiêu</w:t>
            </w:r>
          </w:p>
        </w:tc>
        <w:tc>
          <w:tcPr>
            <w:tcW w:w="1000" w:type="pct"/>
            <w:vMerge w:val="restar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Loại ngoại tệ</w:t>
            </w:r>
          </w:p>
        </w:tc>
        <w:tc>
          <w:tcPr>
            <w:tcW w:w="1850" w:type="pct"/>
            <w:gridSpan w:val="2"/>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Số dư cuối kỳ</w:t>
            </w:r>
          </w:p>
        </w:tc>
      </w:tr>
      <w:tr w:rsidR="00BE32C1" w:rsidRPr="00BE32C1" w:rsidTr="00BE32C1">
        <w:tc>
          <w:tcPr>
            <w:tcW w:w="0" w:type="auto"/>
            <w:vMerge/>
            <w:hideMark/>
          </w:tcPr>
          <w:p w:rsidR="00BE32C1" w:rsidRPr="00BE32C1" w:rsidRDefault="00BE32C1" w:rsidP="00BE32C1">
            <w:pPr>
              <w:ind w:firstLine="0"/>
              <w:jc w:val="left"/>
              <w:rPr>
                <w:rFonts w:ascii="Arial" w:eastAsia="Times New Roman" w:hAnsi="Arial" w:cs="Arial"/>
                <w:color w:val="000000"/>
                <w:kern w:val="0"/>
                <w:sz w:val="18"/>
                <w:szCs w:val="18"/>
                <w14:ligatures w14:val="none"/>
              </w:rPr>
            </w:pPr>
          </w:p>
        </w:tc>
        <w:tc>
          <w:tcPr>
            <w:tcW w:w="0" w:type="auto"/>
            <w:vMerge/>
            <w:hideMark/>
          </w:tcPr>
          <w:p w:rsidR="00BE32C1" w:rsidRPr="00BE32C1" w:rsidRDefault="00BE32C1" w:rsidP="00BE32C1">
            <w:pPr>
              <w:ind w:firstLine="0"/>
              <w:jc w:val="left"/>
              <w:rPr>
                <w:rFonts w:ascii="Arial" w:eastAsia="Times New Roman" w:hAnsi="Arial" w:cs="Arial"/>
                <w:color w:val="000000"/>
                <w:kern w:val="0"/>
                <w:sz w:val="18"/>
                <w:szCs w:val="18"/>
                <w14:ligatures w14:val="none"/>
              </w:rPr>
            </w:pPr>
          </w:p>
        </w:tc>
        <w:tc>
          <w:tcPr>
            <w:tcW w:w="0" w:type="auto"/>
            <w:vMerge/>
            <w:hideMark/>
          </w:tcPr>
          <w:p w:rsidR="00BE32C1" w:rsidRPr="00BE32C1" w:rsidRDefault="00BE32C1" w:rsidP="00BE32C1">
            <w:pPr>
              <w:ind w:firstLine="0"/>
              <w:jc w:val="left"/>
              <w:rPr>
                <w:rFonts w:ascii="Arial" w:eastAsia="Times New Roman" w:hAnsi="Arial" w:cs="Arial"/>
                <w:color w:val="000000"/>
                <w:kern w:val="0"/>
                <w:sz w:val="18"/>
                <w:szCs w:val="18"/>
                <w14:ligatures w14:val="none"/>
              </w:rPr>
            </w:pPr>
          </w:p>
        </w:tc>
        <w:tc>
          <w:tcPr>
            <w:tcW w:w="9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Nguyên tệ</w:t>
            </w:r>
          </w:p>
        </w:tc>
        <w:tc>
          <w:tcPr>
            <w:tcW w:w="90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Quy USD</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1</w:t>
            </w:r>
          </w:p>
        </w:tc>
        <w:tc>
          <w:tcPr>
            <w:tcW w:w="4600" w:type="pct"/>
            <w:gridSpan w:val="4"/>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Tổng tiền gửi không kỳ hạn</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1.1</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1.2</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7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A</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B</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0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2</w:t>
            </w:r>
          </w:p>
        </w:tc>
        <w:tc>
          <w:tcPr>
            <w:tcW w:w="4600" w:type="pct"/>
            <w:gridSpan w:val="4"/>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Tổng tiền gửi có kỳ hạn</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2.1</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2.2</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7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A</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B</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0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3</w:t>
            </w:r>
          </w:p>
        </w:tc>
        <w:tc>
          <w:tcPr>
            <w:tcW w:w="4600" w:type="pct"/>
            <w:gridSpan w:val="4"/>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Tổng trái phiếu</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3.1</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3.2</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7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Trái phiếu Chính phủ Mỹ</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Trái phiếu Chính phủ Đức</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w:t>
            </w:r>
          </w:p>
        </w:tc>
        <w:tc>
          <w:tcPr>
            <w:tcW w:w="10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4</w:t>
            </w:r>
          </w:p>
        </w:tc>
        <w:tc>
          <w:tcPr>
            <w:tcW w:w="4600" w:type="pct"/>
            <w:gridSpan w:val="4"/>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Tổng ủy thác đầu tư</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4.1</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4.2</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7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A</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B</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0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5</w:t>
            </w:r>
          </w:p>
        </w:tc>
        <w:tc>
          <w:tcPr>
            <w:tcW w:w="4600" w:type="pct"/>
            <w:gridSpan w:val="4"/>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Tổng đầu tư vàng</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5.1</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5.2</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7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A</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B</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0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6</w:t>
            </w:r>
          </w:p>
        </w:tc>
        <w:tc>
          <w:tcPr>
            <w:tcW w:w="4600" w:type="pct"/>
            <w:gridSpan w:val="4"/>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Tổng hình thức đầu tư khác</w:t>
            </w:r>
          </w:p>
        </w:tc>
      </w:tr>
      <w:tr w:rsidR="00BE32C1" w:rsidRPr="00BE32C1" w:rsidTr="00BE32C1">
        <w:tc>
          <w:tcPr>
            <w:tcW w:w="350" w:type="pct"/>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6.1</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6.1.1</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6.1.2</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lastRenderedPageBreak/>
              <w:t>6.2</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6.2.1</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6.2.2</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7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lastRenderedPageBreak/>
              <w:t>Hình thức 1</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A</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B</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lastRenderedPageBreak/>
              <w:t>Hình thức 2</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A</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Đối tác B</w:t>
            </w:r>
          </w:p>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w:t>
            </w:r>
          </w:p>
        </w:tc>
        <w:tc>
          <w:tcPr>
            <w:tcW w:w="10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lastRenderedPageBreak/>
              <w:t> </w:t>
            </w:r>
          </w:p>
        </w:tc>
        <w:tc>
          <w:tcPr>
            <w:tcW w:w="9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r>
      <w:tr w:rsidR="00BE32C1" w:rsidRPr="00BE32C1" w:rsidTr="00BE32C1">
        <w:tc>
          <w:tcPr>
            <w:tcW w:w="2100" w:type="pct"/>
            <w:gridSpan w:val="2"/>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Tổng</w:t>
            </w:r>
          </w:p>
        </w:tc>
        <w:tc>
          <w:tcPr>
            <w:tcW w:w="10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5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c>
          <w:tcPr>
            <w:tcW w:w="900" w:type="pct"/>
            <w:hideMark/>
          </w:tcPr>
          <w:p w:rsidR="00BE32C1" w:rsidRPr="00BE32C1" w:rsidRDefault="00BE32C1" w:rsidP="00BE32C1">
            <w:pPr>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 </w:t>
            </w:r>
          </w:p>
        </w:tc>
      </w:tr>
    </w:tbl>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7"/>
        <w:gridCol w:w="3207"/>
        <w:gridCol w:w="3208"/>
      </w:tblGrid>
      <w:tr w:rsidR="00BE32C1" w:rsidRPr="00BE32C1" w:rsidTr="00BE32C1">
        <w:trPr>
          <w:tblCellSpacing w:w="0" w:type="dxa"/>
        </w:trPr>
        <w:tc>
          <w:tcPr>
            <w:tcW w:w="1450" w:type="pct"/>
            <w:shd w:val="clear" w:color="auto" w:fill="FFFFFF"/>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w:t>
            </w:r>
          </w:p>
        </w:tc>
        <w:tc>
          <w:tcPr>
            <w:tcW w:w="3500" w:type="pct"/>
            <w:gridSpan w:val="2"/>
            <w:shd w:val="clear" w:color="auto" w:fill="FFFFFF"/>
            <w:hideMark/>
          </w:tcPr>
          <w:p w:rsidR="00BE32C1" w:rsidRPr="00BE32C1" w:rsidRDefault="00BE32C1" w:rsidP="00BE32C1">
            <w:pPr>
              <w:spacing w:before="120" w:after="120" w:line="234" w:lineRule="atLeast"/>
              <w:ind w:firstLine="0"/>
              <w:jc w:val="right"/>
              <w:rPr>
                <w:rFonts w:ascii="Arial" w:eastAsia="Times New Roman" w:hAnsi="Arial" w:cs="Arial"/>
                <w:color w:val="000000"/>
                <w:kern w:val="0"/>
                <w:sz w:val="18"/>
                <w:szCs w:val="18"/>
                <w14:ligatures w14:val="none"/>
              </w:rPr>
            </w:pPr>
            <w:r w:rsidRPr="00BE32C1">
              <w:rPr>
                <w:rFonts w:ascii="Arial" w:eastAsia="Times New Roman" w:hAnsi="Arial" w:cs="Arial"/>
                <w:i/>
                <w:iCs/>
                <w:color w:val="000000"/>
                <w:kern w:val="0"/>
                <w:sz w:val="18"/>
                <w:szCs w:val="18"/>
                <w14:ligatures w14:val="none"/>
              </w:rPr>
              <w:t>Hà Nội, ngày ….tháng ….năm ……</w:t>
            </w:r>
          </w:p>
        </w:tc>
      </w:tr>
      <w:tr w:rsidR="00BE32C1" w:rsidRPr="00BE32C1" w:rsidTr="00BE32C1">
        <w:trPr>
          <w:tblCellSpacing w:w="0" w:type="dxa"/>
        </w:trPr>
        <w:tc>
          <w:tcPr>
            <w:tcW w:w="1450" w:type="pct"/>
            <w:shd w:val="clear" w:color="auto" w:fill="FFFFFF"/>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Lập biểu</w:t>
            </w:r>
          </w:p>
        </w:tc>
        <w:tc>
          <w:tcPr>
            <w:tcW w:w="1750" w:type="pct"/>
            <w:shd w:val="clear" w:color="auto" w:fill="FFFFFF"/>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Kiểm soát</w:t>
            </w:r>
          </w:p>
        </w:tc>
        <w:tc>
          <w:tcPr>
            <w:tcW w:w="1750" w:type="pct"/>
            <w:shd w:val="clear" w:color="auto" w:fill="FFFFFF"/>
            <w:hideMark/>
          </w:tcPr>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b/>
                <w:bCs/>
                <w:color w:val="000000"/>
                <w:kern w:val="0"/>
                <w:sz w:val="18"/>
                <w:szCs w:val="18"/>
                <w14:ligatures w14:val="none"/>
              </w:rPr>
              <w:t>Thủ trưởng đơn vị</w:t>
            </w:r>
          </w:p>
          <w:p w:rsidR="00BE32C1" w:rsidRPr="00BE32C1" w:rsidRDefault="00BE32C1" w:rsidP="00BE32C1">
            <w:pPr>
              <w:spacing w:before="120" w:after="120" w:line="234" w:lineRule="atLeast"/>
              <w:ind w:firstLine="0"/>
              <w:jc w:val="center"/>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w:t>
            </w:r>
          </w:p>
        </w:tc>
      </w:tr>
    </w:tbl>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1. Đối tượng áp dụng:</w:t>
      </w:r>
      <w:r w:rsidRPr="00BE32C1">
        <w:rPr>
          <w:rFonts w:ascii="Arial" w:eastAsia="Times New Roman" w:hAnsi="Arial" w:cs="Arial"/>
          <w:color w:val="000000"/>
          <w:kern w:val="0"/>
          <w:sz w:val="18"/>
          <w:szCs w:val="18"/>
          <w14:ligatures w14:val="none"/>
        </w:rPr>
        <w:t> Cục Quản lý dự trữ ngoại hối nhà nước.</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2. Thời hạn gửi báo cáo:</w:t>
      </w:r>
      <w:r w:rsidRPr="00BE32C1">
        <w:rPr>
          <w:rFonts w:ascii="Arial" w:eastAsia="Times New Roman" w:hAnsi="Arial" w:cs="Arial"/>
          <w:color w:val="000000"/>
          <w:kern w:val="0"/>
          <w:sz w:val="18"/>
          <w:szCs w:val="18"/>
          <w14:ligatures w14:val="none"/>
        </w:rPr>
        <w:t> Muộn nhất ngày 15 của tháng ngay sau tháng báo cáo.</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3. Hình thức báo cáo:</w:t>
      </w:r>
      <w:r w:rsidRPr="00BE32C1">
        <w:rPr>
          <w:rFonts w:ascii="Arial" w:eastAsia="Times New Roman" w:hAnsi="Arial" w:cs="Arial"/>
          <w:color w:val="000000"/>
          <w:kern w:val="0"/>
          <w:sz w:val="18"/>
          <w:szCs w:val="18"/>
          <w14:ligatures w14:val="none"/>
        </w:rPr>
        <w:t> Văn bản hoặc báo cáo điện tử.</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4. Đơn vị nhận báo cáo:</w:t>
      </w:r>
    </w:p>
    <w:p w:rsidR="00BE32C1" w:rsidRPr="00BE32C1" w:rsidRDefault="00BE32C1" w:rsidP="00BE32C1">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a) Trong giai đoạn trước khi Thống đốc quyết định về việc phân công nhiệm vụ hạch toán giữa Cục Quản lý dự trữ ngoại hối nhà nước và Sở Giao dịch theo quy định tại </w:t>
      </w:r>
      <w:bookmarkStart w:id="2" w:name="dc_66"/>
      <w:r w:rsidRPr="00BE32C1">
        <w:rPr>
          <w:rFonts w:ascii="Arial" w:eastAsia="Times New Roman" w:hAnsi="Arial" w:cs="Arial"/>
          <w:color w:val="000000"/>
          <w:kern w:val="0"/>
          <w:sz w:val="18"/>
          <w:szCs w:val="18"/>
          <w14:ligatures w14:val="none"/>
        </w:rPr>
        <w:t>Điều 13 Thông tư số 12/2023/TT-NHNN</w:t>
      </w:r>
      <w:bookmarkEnd w:id="2"/>
      <w:r w:rsidRPr="00BE32C1">
        <w:rPr>
          <w:rFonts w:ascii="Arial" w:eastAsia="Times New Roman" w:hAnsi="Arial" w:cs="Arial"/>
          <w:color w:val="000000"/>
          <w:kern w:val="0"/>
          <w:sz w:val="18"/>
          <w:szCs w:val="18"/>
          <w14:ligatures w14:val="none"/>
        </w:rPr>
        <w:t>: Thống đốc, các Phó Thống đốc có liên quan, Vụ Kiểm toán nội bộ, Vụ Ổn định tiền tệ - tài chính, Sở Giao dịch.</w:t>
      </w:r>
    </w:p>
    <w:p w:rsidR="00BE32C1" w:rsidRPr="00BE32C1" w:rsidRDefault="00BE32C1" w:rsidP="00BE32C1">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b) Kể từ khi Thống đốc quyết định về việc phân công nhiệm vụ hạch toán giữa Cục Quản lý dự trữ ngoại hối nhà nước và Sở Giao dịch theo quy định tại </w:t>
      </w:r>
      <w:bookmarkStart w:id="3" w:name="dc_67"/>
      <w:r w:rsidRPr="00BE32C1">
        <w:rPr>
          <w:rFonts w:ascii="Arial" w:eastAsia="Times New Roman" w:hAnsi="Arial" w:cs="Arial"/>
          <w:color w:val="000000"/>
          <w:kern w:val="0"/>
          <w:sz w:val="18"/>
          <w:szCs w:val="18"/>
          <w14:ligatures w14:val="none"/>
        </w:rPr>
        <w:t>Điều 13 Thông tư số 12/2023/TT-NHNN</w:t>
      </w:r>
      <w:bookmarkEnd w:id="3"/>
      <w:r w:rsidRPr="00BE32C1">
        <w:rPr>
          <w:rFonts w:ascii="Arial" w:eastAsia="Times New Roman" w:hAnsi="Arial" w:cs="Arial"/>
          <w:color w:val="000000"/>
          <w:kern w:val="0"/>
          <w:sz w:val="18"/>
          <w:szCs w:val="18"/>
          <w14:ligatures w14:val="none"/>
        </w:rPr>
        <w:t>: Thống đốc, các Phó Thống đốc có liên quan, Vụ Kiểm toán nội bộ, Vụ Ổn định tiền tệ - tài chính.</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b/>
          <w:bCs/>
          <w:i/>
          <w:iCs/>
          <w:color w:val="000000"/>
          <w:kern w:val="0"/>
          <w:sz w:val="18"/>
          <w:szCs w:val="18"/>
          <w14:ligatures w14:val="none"/>
        </w:rPr>
        <w:t>5. Hướng dẫn lập báo cáo:</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Tỷ giá để quy đổi từ các loại ngoại tệ ra USD là tỷ giá do Cục Quản lý dự trữ ngoại hối nhà nước xác định trên cơ sở tỷ giá bình quân của giá mua và giá bán được niêm yết trên Refinitiv trước 10 giờ sáng ngày báo cáo.</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Giá vàng để quy đổi ra USD là giá vàng do Cục Quản lý dự trữ ngoại hối nhà nước xác định hàng ngày.</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Các số liệu trong báo cáo là giá trị ghi sổ trên tài khoản kế toán vào ngày báo cáo.</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Chỉ tiêu 1 = Chỉ tiêu 1.1 + Chỉ tiêu 1.2 + …</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Chỉ tiêu 2= Chỉ tiêu 2.1 + Chỉ tiêu 2.2 + …</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Chỉ tiêu 3= Chỉ tiêu 3.1 + Chỉ tiêu 3.2 + …</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Chỉ tiêu 4= Chỉ tiêu 4.1 + Chỉ tiêu 4.2 + …</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Chỉ tiêu 5= Chỉ tiêu 5.1 + Chỉ tiêu 5.2 + …</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Chỉ tiêu 6= Chỉ tiêu 6.1 + Chỉ tiêu 6.2 + …</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Chỉ tiêu 6.1 = Chỉ tiêu 6.1.1 + Chỉ tiêu 6.1.2 + …</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Chỉ tiêu 6.2 = Chỉ tiêu 6.2.1 + Chỉ tiêu 6.2.2 + …</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Tổng = Chỉ tiêu 1 + Chỉ tiêu 2 + Chỉ tiêu 3 + Chỉ tiêu 4 + Chỉ tiêu 5 + Chỉ tiêu 6.</w:t>
      </w:r>
    </w:p>
    <w:p w:rsidR="00BE32C1" w:rsidRPr="00BE32C1" w:rsidRDefault="00BE32C1" w:rsidP="00BE32C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BE32C1">
        <w:rPr>
          <w:rFonts w:ascii="Arial" w:eastAsia="Times New Roman" w:hAnsi="Arial" w:cs="Arial"/>
          <w:color w:val="000000"/>
          <w:kern w:val="0"/>
          <w:sz w:val="18"/>
          <w:szCs w:val="18"/>
          <w14:ligatures w14:val="none"/>
        </w:rPr>
        <w:t> </w:t>
      </w:r>
    </w:p>
    <w:p w:rsidR="0088021A" w:rsidRPr="00BE32C1" w:rsidRDefault="0088021A" w:rsidP="00BE32C1"/>
    <w:sectPr w:rsidR="0088021A" w:rsidRPr="00BE32C1"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BC"/>
    <w:rsid w:val="00260725"/>
    <w:rsid w:val="002E27CC"/>
    <w:rsid w:val="003B5E03"/>
    <w:rsid w:val="0043709D"/>
    <w:rsid w:val="004B4B9D"/>
    <w:rsid w:val="00545602"/>
    <w:rsid w:val="006477B9"/>
    <w:rsid w:val="006E0934"/>
    <w:rsid w:val="00804912"/>
    <w:rsid w:val="0088021A"/>
    <w:rsid w:val="008F223F"/>
    <w:rsid w:val="009532CB"/>
    <w:rsid w:val="009D31A8"/>
    <w:rsid w:val="009D3CE6"/>
    <w:rsid w:val="00A03B3C"/>
    <w:rsid w:val="00BE2B8E"/>
    <w:rsid w:val="00BE32C1"/>
    <w:rsid w:val="00D53B95"/>
    <w:rsid w:val="00D5773A"/>
    <w:rsid w:val="00E85F00"/>
    <w:rsid w:val="00F73FBC"/>
    <w:rsid w:val="00F9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D3A"/>
  <w15:chartTrackingRefBased/>
  <w15:docId w15:val="{DF794402-C364-434B-B3B1-01EC2EB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FBC"/>
    <w:rPr>
      <w:color w:val="0563C1" w:themeColor="hyperlink"/>
      <w:u w:val="single"/>
    </w:rPr>
  </w:style>
  <w:style w:type="character" w:styleId="UnresolvedMention">
    <w:name w:val="Unresolved Mention"/>
    <w:basedOn w:val="DefaultParagraphFont"/>
    <w:uiPriority w:val="99"/>
    <w:semiHidden/>
    <w:unhideWhenUsed/>
    <w:rsid w:val="00F73FBC"/>
    <w:rPr>
      <w:color w:val="605E5C"/>
      <w:shd w:val="clear" w:color="auto" w:fill="E1DFDD"/>
    </w:rPr>
  </w:style>
  <w:style w:type="table" w:styleId="TableGrid">
    <w:name w:val="Table Grid"/>
    <w:basedOn w:val="TableNormal"/>
    <w:uiPriority w:val="39"/>
    <w:rsid w:val="004B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41">
      <w:bodyDiv w:val="1"/>
      <w:marLeft w:val="0"/>
      <w:marRight w:val="0"/>
      <w:marTop w:val="0"/>
      <w:marBottom w:val="0"/>
      <w:divBdr>
        <w:top w:val="none" w:sz="0" w:space="0" w:color="auto"/>
        <w:left w:val="none" w:sz="0" w:space="0" w:color="auto"/>
        <w:bottom w:val="none" w:sz="0" w:space="0" w:color="auto"/>
        <w:right w:val="none" w:sz="0" w:space="0" w:color="auto"/>
      </w:divBdr>
    </w:div>
    <w:div w:id="64226058">
      <w:bodyDiv w:val="1"/>
      <w:marLeft w:val="0"/>
      <w:marRight w:val="0"/>
      <w:marTop w:val="0"/>
      <w:marBottom w:val="0"/>
      <w:divBdr>
        <w:top w:val="none" w:sz="0" w:space="0" w:color="auto"/>
        <w:left w:val="none" w:sz="0" w:space="0" w:color="auto"/>
        <w:bottom w:val="none" w:sz="0" w:space="0" w:color="auto"/>
        <w:right w:val="none" w:sz="0" w:space="0" w:color="auto"/>
      </w:divBdr>
    </w:div>
    <w:div w:id="74866365">
      <w:bodyDiv w:val="1"/>
      <w:marLeft w:val="0"/>
      <w:marRight w:val="0"/>
      <w:marTop w:val="0"/>
      <w:marBottom w:val="0"/>
      <w:divBdr>
        <w:top w:val="none" w:sz="0" w:space="0" w:color="auto"/>
        <w:left w:val="none" w:sz="0" w:space="0" w:color="auto"/>
        <w:bottom w:val="none" w:sz="0" w:space="0" w:color="auto"/>
        <w:right w:val="none" w:sz="0" w:space="0" w:color="auto"/>
      </w:divBdr>
    </w:div>
    <w:div w:id="321742907">
      <w:bodyDiv w:val="1"/>
      <w:marLeft w:val="0"/>
      <w:marRight w:val="0"/>
      <w:marTop w:val="0"/>
      <w:marBottom w:val="0"/>
      <w:divBdr>
        <w:top w:val="none" w:sz="0" w:space="0" w:color="auto"/>
        <w:left w:val="none" w:sz="0" w:space="0" w:color="auto"/>
        <w:bottom w:val="none" w:sz="0" w:space="0" w:color="auto"/>
        <w:right w:val="none" w:sz="0" w:space="0" w:color="auto"/>
      </w:divBdr>
    </w:div>
    <w:div w:id="382868639">
      <w:bodyDiv w:val="1"/>
      <w:marLeft w:val="0"/>
      <w:marRight w:val="0"/>
      <w:marTop w:val="0"/>
      <w:marBottom w:val="0"/>
      <w:divBdr>
        <w:top w:val="none" w:sz="0" w:space="0" w:color="auto"/>
        <w:left w:val="none" w:sz="0" w:space="0" w:color="auto"/>
        <w:bottom w:val="none" w:sz="0" w:space="0" w:color="auto"/>
        <w:right w:val="none" w:sz="0" w:space="0" w:color="auto"/>
      </w:divBdr>
    </w:div>
    <w:div w:id="474567717">
      <w:bodyDiv w:val="1"/>
      <w:marLeft w:val="0"/>
      <w:marRight w:val="0"/>
      <w:marTop w:val="0"/>
      <w:marBottom w:val="0"/>
      <w:divBdr>
        <w:top w:val="none" w:sz="0" w:space="0" w:color="auto"/>
        <w:left w:val="none" w:sz="0" w:space="0" w:color="auto"/>
        <w:bottom w:val="none" w:sz="0" w:space="0" w:color="auto"/>
        <w:right w:val="none" w:sz="0" w:space="0" w:color="auto"/>
      </w:divBdr>
    </w:div>
    <w:div w:id="497968168">
      <w:bodyDiv w:val="1"/>
      <w:marLeft w:val="0"/>
      <w:marRight w:val="0"/>
      <w:marTop w:val="0"/>
      <w:marBottom w:val="0"/>
      <w:divBdr>
        <w:top w:val="none" w:sz="0" w:space="0" w:color="auto"/>
        <w:left w:val="none" w:sz="0" w:space="0" w:color="auto"/>
        <w:bottom w:val="none" w:sz="0" w:space="0" w:color="auto"/>
        <w:right w:val="none" w:sz="0" w:space="0" w:color="auto"/>
      </w:divBdr>
    </w:div>
    <w:div w:id="544368095">
      <w:bodyDiv w:val="1"/>
      <w:marLeft w:val="0"/>
      <w:marRight w:val="0"/>
      <w:marTop w:val="0"/>
      <w:marBottom w:val="0"/>
      <w:divBdr>
        <w:top w:val="none" w:sz="0" w:space="0" w:color="auto"/>
        <w:left w:val="none" w:sz="0" w:space="0" w:color="auto"/>
        <w:bottom w:val="none" w:sz="0" w:space="0" w:color="auto"/>
        <w:right w:val="none" w:sz="0" w:space="0" w:color="auto"/>
      </w:divBdr>
    </w:div>
    <w:div w:id="634992617">
      <w:bodyDiv w:val="1"/>
      <w:marLeft w:val="0"/>
      <w:marRight w:val="0"/>
      <w:marTop w:val="0"/>
      <w:marBottom w:val="0"/>
      <w:divBdr>
        <w:top w:val="none" w:sz="0" w:space="0" w:color="auto"/>
        <w:left w:val="none" w:sz="0" w:space="0" w:color="auto"/>
        <w:bottom w:val="none" w:sz="0" w:space="0" w:color="auto"/>
        <w:right w:val="none" w:sz="0" w:space="0" w:color="auto"/>
      </w:divBdr>
    </w:div>
    <w:div w:id="662122243">
      <w:bodyDiv w:val="1"/>
      <w:marLeft w:val="0"/>
      <w:marRight w:val="0"/>
      <w:marTop w:val="0"/>
      <w:marBottom w:val="0"/>
      <w:divBdr>
        <w:top w:val="none" w:sz="0" w:space="0" w:color="auto"/>
        <w:left w:val="none" w:sz="0" w:space="0" w:color="auto"/>
        <w:bottom w:val="none" w:sz="0" w:space="0" w:color="auto"/>
        <w:right w:val="none" w:sz="0" w:space="0" w:color="auto"/>
      </w:divBdr>
    </w:div>
    <w:div w:id="713894364">
      <w:bodyDiv w:val="1"/>
      <w:marLeft w:val="0"/>
      <w:marRight w:val="0"/>
      <w:marTop w:val="0"/>
      <w:marBottom w:val="0"/>
      <w:divBdr>
        <w:top w:val="none" w:sz="0" w:space="0" w:color="auto"/>
        <w:left w:val="none" w:sz="0" w:space="0" w:color="auto"/>
        <w:bottom w:val="none" w:sz="0" w:space="0" w:color="auto"/>
        <w:right w:val="none" w:sz="0" w:space="0" w:color="auto"/>
      </w:divBdr>
    </w:div>
    <w:div w:id="735126201">
      <w:bodyDiv w:val="1"/>
      <w:marLeft w:val="0"/>
      <w:marRight w:val="0"/>
      <w:marTop w:val="0"/>
      <w:marBottom w:val="0"/>
      <w:divBdr>
        <w:top w:val="none" w:sz="0" w:space="0" w:color="auto"/>
        <w:left w:val="none" w:sz="0" w:space="0" w:color="auto"/>
        <w:bottom w:val="none" w:sz="0" w:space="0" w:color="auto"/>
        <w:right w:val="none" w:sz="0" w:space="0" w:color="auto"/>
      </w:divBdr>
    </w:div>
    <w:div w:id="769201120">
      <w:bodyDiv w:val="1"/>
      <w:marLeft w:val="0"/>
      <w:marRight w:val="0"/>
      <w:marTop w:val="0"/>
      <w:marBottom w:val="0"/>
      <w:divBdr>
        <w:top w:val="none" w:sz="0" w:space="0" w:color="auto"/>
        <w:left w:val="none" w:sz="0" w:space="0" w:color="auto"/>
        <w:bottom w:val="none" w:sz="0" w:space="0" w:color="auto"/>
        <w:right w:val="none" w:sz="0" w:space="0" w:color="auto"/>
      </w:divBdr>
    </w:div>
    <w:div w:id="873927201">
      <w:bodyDiv w:val="1"/>
      <w:marLeft w:val="0"/>
      <w:marRight w:val="0"/>
      <w:marTop w:val="0"/>
      <w:marBottom w:val="0"/>
      <w:divBdr>
        <w:top w:val="none" w:sz="0" w:space="0" w:color="auto"/>
        <w:left w:val="none" w:sz="0" w:space="0" w:color="auto"/>
        <w:bottom w:val="none" w:sz="0" w:space="0" w:color="auto"/>
        <w:right w:val="none" w:sz="0" w:space="0" w:color="auto"/>
      </w:divBdr>
    </w:div>
    <w:div w:id="908735004">
      <w:bodyDiv w:val="1"/>
      <w:marLeft w:val="0"/>
      <w:marRight w:val="0"/>
      <w:marTop w:val="0"/>
      <w:marBottom w:val="0"/>
      <w:divBdr>
        <w:top w:val="none" w:sz="0" w:space="0" w:color="auto"/>
        <w:left w:val="none" w:sz="0" w:space="0" w:color="auto"/>
        <w:bottom w:val="none" w:sz="0" w:space="0" w:color="auto"/>
        <w:right w:val="none" w:sz="0" w:space="0" w:color="auto"/>
      </w:divBdr>
    </w:div>
    <w:div w:id="931746594">
      <w:bodyDiv w:val="1"/>
      <w:marLeft w:val="0"/>
      <w:marRight w:val="0"/>
      <w:marTop w:val="0"/>
      <w:marBottom w:val="0"/>
      <w:divBdr>
        <w:top w:val="none" w:sz="0" w:space="0" w:color="auto"/>
        <w:left w:val="none" w:sz="0" w:space="0" w:color="auto"/>
        <w:bottom w:val="none" w:sz="0" w:space="0" w:color="auto"/>
        <w:right w:val="none" w:sz="0" w:space="0" w:color="auto"/>
      </w:divBdr>
    </w:div>
    <w:div w:id="1087115264">
      <w:bodyDiv w:val="1"/>
      <w:marLeft w:val="0"/>
      <w:marRight w:val="0"/>
      <w:marTop w:val="0"/>
      <w:marBottom w:val="0"/>
      <w:divBdr>
        <w:top w:val="none" w:sz="0" w:space="0" w:color="auto"/>
        <w:left w:val="none" w:sz="0" w:space="0" w:color="auto"/>
        <w:bottom w:val="none" w:sz="0" w:space="0" w:color="auto"/>
        <w:right w:val="none" w:sz="0" w:space="0" w:color="auto"/>
      </w:divBdr>
    </w:div>
    <w:div w:id="1209801436">
      <w:bodyDiv w:val="1"/>
      <w:marLeft w:val="0"/>
      <w:marRight w:val="0"/>
      <w:marTop w:val="0"/>
      <w:marBottom w:val="0"/>
      <w:divBdr>
        <w:top w:val="none" w:sz="0" w:space="0" w:color="auto"/>
        <w:left w:val="none" w:sz="0" w:space="0" w:color="auto"/>
        <w:bottom w:val="none" w:sz="0" w:space="0" w:color="auto"/>
        <w:right w:val="none" w:sz="0" w:space="0" w:color="auto"/>
      </w:divBdr>
    </w:div>
    <w:div w:id="1386947009">
      <w:bodyDiv w:val="1"/>
      <w:marLeft w:val="0"/>
      <w:marRight w:val="0"/>
      <w:marTop w:val="0"/>
      <w:marBottom w:val="0"/>
      <w:divBdr>
        <w:top w:val="none" w:sz="0" w:space="0" w:color="auto"/>
        <w:left w:val="none" w:sz="0" w:space="0" w:color="auto"/>
        <w:bottom w:val="none" w:sz="0" w:space="0" w:color="auto"/>
        <w:right w:val="none" w:sz="0" w:space="0" w:color="auto"/>
      </w:divBdr>
    </w:div>
    <w:div w:id="1465150123">
      <w:bodyDiv w:val="1"/>
      <w:marLeft w:val="0"/>
      <w:marRight w:val="0"/>
      <w:marTop w:val="0"/>
      <w:marBottom w:val="0"/>
      <w:divBdr>
        <w:top w:val="none" w:sz="0" w:space="0" w:color="auto"/>
        <w:left w:val="none" w:sz="0" w:space="0" w:color="auto"/>
        <w:bottom w:val="none" w:sz="0" w:space="0" w:color="auto"/>
        <w:right w:val="none" w:sz="0" w:space="0" w:color="auto"/>
      </w:divBdr>
    </w:div>
    <w:div w:id="1485391232">
      <w:bodyDiv w:val="1"/>
      <w:marLeft w:val="0"/>
      <w:marRight w:val="0"/>
      <w:marTop w:val="0"/>
      <w:marBottom w:val="0"/>
      <w:divBdr>
        <w:top w:val="none" w:sz="0" w:space="0" w:color="auto"/>
        <w:left w:val="none" w:sz="0" w:space="0" w:color="auto"/>
        <w:bottom w:val="none" w:sz="0" w:space="0" w:color="auto"/>
        <w:right w:val="none" w:sz="0" w:space="0" w:color="auto"/>
      </w:divBdr>
    </w:div>
    <w:div w:id="1497265357">
      <w:bodyDiv w:val="1"/>
      <w:marLeft w:val="0"/>
      <w:marRight w:val="0"/>
      <w:marTop w:val="0"/>
      <w:marBottom w:val="0"/>
      <w:divBdr>
        <w:top w:val="none" w:sz="0" w:space="0" w:color="auto"/>
        <w:left w:val="none" w:sz="0" w:space="0" w:color="auto"/>
        <w:bottom w:val="none" w:sz="0" w:space="0" w:color="auto"/>
        <w:right w:val="none" w:sz="0" w:space="0" w:color="auto"/>
      </w:divBdr>
    </w:div>
    <w:div w:id="1509827122">
      <w:bodyDiv w:val="1"/>
      <w:marLeft w:val="0"/>
      <w:marRight w:val="0"/>
      <w:marTop w:val="0"/>
      <w:marBottom w:val="0"/>
      <w:divBdr>
        <w:top w:val="none" w:sz="0" w:space="0" w:color="auto"/>
        <w:left w:val="none" w:sz="0" w:space="0" w:color="auto"/>
        <w:bottom w:val="none" w:sz="0" w:space="0" w:color="auto"/>
        <w:right w:val="none" w:sz="0" w:space="0" w:color="auto"/>
      </w:divBdr>
    </w:div>
    <w:div w:id="1533155085">
      <w:bodyDiv w:val="1"/>
      <w:marLeft w:val="0"/>
      <w:marRight w:val="0"/>
      <w:marTop w:val="0"/>
      <w:marBottom w:val="0"/>
      <w:divBdr>
        <w:top w:val="none" w:sz="0" w:space="0" w:color="auto"/>
        <w:left w:val="none" w:sz="0" w:space="0" w:color="auto"/>
        <w:bottom w:val="none" w:sz="0" w:space="0" w:color="auto"/>
        <w:right w:val="none" w:sz="0" w:space="0" w:color="auto"/>
      </w:divBdr>
    </w:div>
    <w:div w:id="1565291249">
      <w:bodyDiv w:val="1"/>
      <w:marLeft w:val="0"/>
      <w:marRight w:val="0"/>
      <w:marTop w:val="0"/>
      <w:marBottom w:val="0"/>
      <w:divBdr>
        <w:top w:val="none" w:sz="0" w:space="0" w:color="auto"/>
        <w:left w:val="none" w:sz="0" w:space="0" w:color="auto"/>
        <w:bottom w:val="none" w:sz="0" w:space="0" w:color="auto"/>
        <w:right w:val="none" w:sz="0" w:space="0" w:color="auto"/>
      </w:divBdr>
    </w:div>
    <w:div w:id="1618634012">
      <w:bodyDiv w:val="1"/>
      <w:marLeft w:val="0"/>
      <w:marRight w:val="0"/>
      <w:marTop w:val="0"/>
      <w:marBottom w:val="0"/>
      <w:divBdr>
        <w:top w:val="none" w:sz="0" w:space="0" w:color="auto"/>
        <w:left w:val="none" w:sz="0" w:space="0" w:color="auto"/>
        <w:bottom w:val="none" w:sz="0" w:space="0" w:color="auto"/>
        <w:right w:val="none" w:sz="0" w:space="0" w:color="auto"/>
      </w:divBdr>
    </w:div>
    <w:div w:id="1672642529">
      <w:bodyDiv w:val="1"/>
      <w:marLeft w:val="0"/>
      <w:marRight w:val="0"/>
      <w:marTop w:val="0"/>
      <w:marBottom w:val="0"/>
      <w:divBdr>
        <w:top w:val="none" w:sz="0" w:space="0" w:color="auto"/>
        <w:left w:val="none" w:sz="0" w:space="0" w:color="auto"/>
        <w:bottom w:val="none" w:sz="0" w:space="0" w:color="auto"/>
        <w:right w:val="none" w:sz="0" w:space="0" w:color="auto"/>
      </w:divBdr>
    </w:div>
    <w:div w:id="1734814064">
      <w:bodyDiv w:val="1"/>
      <w:marLeft w:val="0"/>
      <w:marRight w:val="0"/>
      <w:marTop w:val="0"/>
      <w:marBottom w:val="0"/>
      <w:divBdr>
        <w:top w:val="none" w:sz="0" w:space="0" w:color="auto"/>
        <w:left w:val="none" w:sz="0" w:space="0" w:color="auto"/>
        <w:bottom w:val="none" w:sz="0" w:space="0" w:color="auto"/>
        <w:right w:val="none" w:sz="0" w:space="0" w:color="auto"/>
      </w:divBdr>
    </w:div>
    <w:div w:id="1743599729">
      <w:bodyDiv w:val="1"/>
      <w:marLeft w:val="0"/>
      <w:marRight w:val="0"/>
      <w:marTop w:val="0"/>
      <w:marBottom w:val="0"/>
      <w:divBdr>
        <w:top w:val="none" w:sz="0" w:space="0" w:color="auto"/>
        <w:left w:val="none" w:sz="0" w:space="0" w:color="auto"/>
        <w:bottom w:val="none" w:sz="0" w:space="0" w:color="auto"/>
        <w:right w:val="none" w:sz="0" w:space="0" w:color="auto"/>
      </w:divBdr>
    </w:div>
    <w:div w:id="1764761142">
      <w:bodyDiv w:val="1"/>
      <w:marLeft w:val="0"/>
      <w:marRight w:val="0"/>
      <w:marTop w:val="0"/>
      <w:marBottom w:val="0"/>
      <w:divBdr>
        <w:top w:val="none" w:sz="0" w:space="0" w:color="auto"/>
        <w:left w:val="none" w:sz="0" w:space="0" w:color="auto"/>
        <w:bottom w:val="none" w:sz="0" w:space="0" w:color="auto"/>
        <w:right w:val="none" w:sz="0" w:space="0" w:color="auto"/>
      </w:divBdr>
    </w:div>
    <w:div w:id="1805804854">
      <w:bodyDiv w:val="1"/>
      <w:marLeft w:val="0"/>
      <w:marRight w:val="0"/>
      <w:marTop w:val="0"/>
      <w:marBottom w:val="0"/>
      <w:divBdr>
        <w:top w:val="none" w:sz="0" w:space="0" w:color="auto"/>
        <w:left w:val="none" w:sz="0" w:space="0" w:color="auto"/>
        <w:bottom w:val="none" w:sz="0" w:space="0" w:color="auto"/>
        <w:right w:val="none" w:sz="0" w:space="0" w:color="auto"/>
      </w:divBdr>
    </w:div>
    <w:div w:id="1820880197">
      <w:bodyDiv w:val="1"/>
      <w:marLeft w:val="0"/>
      <w:marRight w:val="0"/>
      <w:marTop w:val="0"/>
      <w:marBottom w:val="0"/>
      <w:divBdr>
        <w:top w:val="none" w:sz="0" w:space="0" w:color="auto"/>
        <w:left w:val="none" w:sz="0" w:space="0" w:color="auto"/>
        <w:bottom w:val="none" w:sz="0" w:space="0" w:color="auto"/>
        <w:right w:val="none" w:sz="0" w:space="0" w:color="auto"/>
      </w:divBdr>
    </w:div>
    <w:div w:id="19873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2024-08-15T04:26:00Z</dcterms:created>
  <dcterms:modified xsi:type="dcterms:W3CDTF">2024-08-15T04:26:00Z</dcterms:modified>
</cp:coreProperties>
</file>