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CB7" w:rsidRPr="00F44CB7" w:rsidRDefault="00F44CB7" w:rsidP="00F44CB7">
      <w:pPr>
        <w:autoSpaceDE w:val="0"/>
        <w:autoSpaceDN w:val="0"/>
        <w:adjustRightInd w:val="0"/>
        <w:spacing w:before="120"/>
        <w:jc w:val="center"/>
        <w:rPr>
          <w:rFonts w:ascii="Times New Roman" w:hAnsi="Times New Roman"/>
          <w:b/>
          <w:sz w:val="26"/>
          <w:szCs w:val="26"/>
        </w:rPr>
      </w:pPr>
      <w:r w:rsidRPr="00F44CB7">
        <w:rPr>
          <w:rFonts w:ascii="Times New Roman" w:hAnsi="Times New Roman"/>
          <w:b/>
          <w:bCs/>
          <w:sz w:val="26"/>
          <w:szCs w:val="26"/>
        </w:rPr>
        <w:t>PHỤ LỤC X</w:t>
      </w:r>
    </w:p>
    <w:p w:rsidR="00F44CB7" w:rsidRPr="00F44CB7" w:rsidRDefault="00F44CB7" w:rsidP="00F44CB7">
      <w:pPr>
        <w:autoSpaceDE w:val="0"/>
        <w:autoSpaceDN w:val="0"/>
        <w:adjustRightInd w:val="0"/>
        <w:spacing w:before="120"/>
        <w:jc w:val="center"/>
        <w:rPr>
          <w:rFonts w:ascii="Times New Roman" w:hAnsi="Times New Roman"/>
          <w:sz w:val="26"/>
          <w:szCs w:val="26"/>
        </w:rPr>
      </w:pPr>
      <w:r w:rsidRPr="00F44CB7">
        <w:rPr>
          <w:rFonts w:ascii="Times New Roman" w:hAnsi="Times New Roman"/>
          <w:bCs/>
          <w:sz w:val="26"/>
          <w:szCs w:val="26"/>
        </w:rPr>
        <w:t xml:space="preserve">NỘI DUNG VÀ CẤP ĐỘ XÁC ĐỊNH CỦA NHÓM NĂNG LỰC CHUNG ĐỐI VỚI CÔNG CHỨC LÃNH ĐẠO, QUẢN LÝ; CÔNG CHỨC, VIÊN CHỨC TRONG CƠ QUAN, TỔ CHỨC HÀNH CHÍNH, ĐƠN VỊ SỰ NGHIỆP CÔNG LẬP </w:t>
      </w:r>
      <w:r w:rsidRPr="00F44CB7">
        <w:rPr>
          <w:rFonts w:ascii="Times New Roman" w:hAnsi="Times New Roman"/>
          <w:bCs/>
          <w:sz w:val="26"/>
          <w:szCs w:val="26"/>
        </w:rPr>
        <w:br/>
      </w:r>
      <w:r w:rsidRPr="00F44CB7">
        <w:rPr>
          <w:rFonts w:ascii="Times New Roman" w:hAnsi="Times New Roman"/>
          <w:bCs/>
          <w:i/>
          <w:iCs/>
          <w:sz w:val="26"/>
          <w:szCs w:val="26"/>
        </w:rPr>
        <w:t>(</w:t>
      </w:r>
      <w:r w:rsidRPr="00F44CB7">
        <w:rPr>
          <w:rFonts w:ascii="Times New Roman" w:hAnsi="Times New Roman"/>
          <w:i/>
          <w:iCs/>
          <w:sz w:val="26"/>
          <w:szCs w:val="26"/>
        </w:rPr>
        <w:t>Ban hành kèm theo Thông tư số 12/2022/TT-BNV ngày 30 tháng 12 năm 2022 của Bộ trưởng Bộ Nội vụ)</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0"/>
        <w:gridCol w:w="954"/>
        <w:gridCol w:w="1548"/>
        <w:gridCol w:w="1600"/>
        <w:gridCol w:w="1068"/>
        <w:gridCol w:w="1227"/>
        <w:gridCol w:w="1082"/>
        <w:gridCol w:w="1001"/>
      </w:tblGrid>
      <w:tr w:rsidR="00F44CB7" w:rsidRPr="00F44CB7" w:rsidTr="009C4DB1">
        <w:tblPrEx>
          <w:tblCellMar>
            <w:top w:w="0" w:type="dxa"/>
            <w:left w:w="0" w:type="dxa"/>
            <w:bottom w:w="0" w:type="dxa"/>
            <w:right w:w="0" w:type="dxa"/>
          </w:tblCellMar>
        </w:tblPrEx>
        <w:tc>
          <w:tcPr>
            <w:tcW w:w="299" w:type="pct"/>
            <w:vMerge w:val="restart"/>
            <w:shd w:val="clear" w:color="auto" w:fill="auto"/>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b/>
                <w:bCs/>
                <w:sz w:val="26"/>
                <w:szCs w:val="26"/>
              </w:rPr>
              <w:t>Cấp</w:t>
            </w:r>
            <w:r w:rsidRPr="00F44CB7">
              <w:rPr>
                <w:rFonts w:ascii="Times New Roman" w:hAnsi="Times New Roman"/>
                <w:sz w:val="26"/>
                <w:szCs w:val="26"/>
              </w:rPr>
              <w:t xml:space="preserve"> </w:t>
            </w:r>
            <w:r w:rsidRPr="00F44CB7">
              <w:rPr>
                <w:rFonts w:ascii="Times New Roman" w:hAnsi="Times New Roman"/>
                <w:b/>
                <w:bCs/>
                <w:sz w:val="26"/>
                <w:szCs w:val="26"/>
              </w:rPr>
              <w:t>độ</w:t>
            </w:r>
          </w:p>
        </w:tc>
        <w:tc>
          <w:tcPr>
            <w:tcW w:w="4701" w:type="pct"/>
            <w:gridSpan w:val="7"/>
            <w:shd w:val="clear" w:color="auto" w:fill="auto"/>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 xml:space="preserve"> </w:t>
            </w:r>
            <w:r w:rsidRPr="00F44CB7">
              <w:rPr>
                <w:rFonts w:ascii="Times New Roman" w:hAnsi="Times New Roman"/>
                <w:b/>
                <w:bCs/>
                <w:sz w:val="26"/>
                <w:szCs w:val="26"/>
              </w:rPr>
              <w:t>Nhóm năng lực chung</w:t>
            </w:r>
          </w:p>
        </w:tc>
      </w:tr>
      <w:tr w:rsidR="00F44CB7" w:rsidRPr="00F44CB7" w:rsidTr="009C4DB1">
        <w:tblPrEx>
          <w:tblCellMar>
            <w:top w:w="0" w:type="dxa"/>
            <w:left w:w="0" w:type="dxa"/>
            <w:bottom w:w="0" w:type="dxa"/>
            <w:right w:w="0" w:type="dxa"/>
          </w:tblCellMar>
        </w:tblPrEx>
        <w:tc>
          <w:tcPr>
            <w:tcW w:w="299" w:type="pct"/>
            <w:vMerge/>
            <w:shd w:val="clear" w:color="auto" w:fill="auto"/>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p>
        </w:tc>
        <w:tc>
          <w:tcPr>
            <w:tcW w:w="529" w:type="pct"/>
            <w:shd w:val="clear" w:color="auto" w:fill="auto"/>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 xml:space="preserve"> </w:t>
            </w:r>
            <w:r w:rsidRPr="00F44CB7">
              <w:rPr>
                <w:rFonts w:ascii="Times New Roman" w:hAnsi="Times New Roman"/>
                <w:b/>
                <w:bCs/>
                <w:sz w:val="26"/>
                <w:szCs w:val="26"/>
              </w:rPr>
              <w:t>Đạo đức và bản lĩnh</w:t>
            </w:r>
          </w:p>
        </w:tc>
        <w:tc>
          <w:tcPr>
            <w:tcW w:w="858" w:type="pct"/>
            <w:shd w:val="clear" w:color="auto" w:fill="auto"/>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 xml:space="preserve"> </w:t>
            </w:r>
            <w:r w:rsidRPr="00F44CB7">
              <w:rPr>
                <w:rFonts w:ascii="Times New Roman" w:hAnsi="Times New Roman"/>
                <w:b/>
                <w:bCs/>
                <w:sz w:val="26"/>
                <w:szCs w:val="26"/>
              </w:rPr>
              <w:t>Tổ chức thực hiện công việc</w:t>
            </w:r>
          </w:p>
        </w:tc>
        <w:tc>
          <w:tcPr>
            <w:tcW w:w="887" w:type="pct"/>
            <w:shd w:val="clear" w:color="auto" w:fill="auto"/>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 xml:space="preserve"> </w:t>
            </w:r>
            <w:r w:rsidRPr="00F44CB7">
              <w:rPr>
                <w:rFonts w:ascii="Times New Roman" w:hAnsi="Times New Roman"/>
                <w:b/>
                <w:bCs/>
                <w:sz w:val="26"/>
                <w:szCs w:val="26"/>
              </w:rPr>
              <w:t>Soạn thảo và ban</w:t>
            </w:r>
            <w:r w:rsidRPr="00F44CB7">
              <w:rPr>
                <w:rFonts w:ascii="Times New Roman" w:hAnsi="Times New Roman"/>
                <w:sz w:val="26"/>
                <w:szCs w:val="26"/>
              </w:rPr>
              <w:t xml:space="preserve"> </w:t>
            </w:r>
            <w:r w:rsidRPr="00F44CB7">
              <w:rPr>
                <w:rFonts w:ascii="Times New Roman" w:hAnsi="Times New Roman"/>
                <w:b/>
                <w:bCs/>
                <w:sz w:val="26"/>
                <w:szCs w:val="26"/>
              </w:rPr>
              <w:t>hành văn bản</w:t>
            </w:r>
          </w:p>
        </w:tc>
        <w:tc>
          <w:tcPr>
            <w:tcW w:w="592" w:type="pct"/>
            <w:shd w:val="clear" w:color="auto" w:fill="auto"/>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b/>
                <w:bCs/>
                <w:sz w:val="26"/>
                <w:szCs w:val="26"/>
              </w:rPr>
              <w:t>Giao tiếp ứng xử</w:t>
            </w:r>
          </w:p>
        </w:tc>
        <w:tc>
          <w:tcPr>
            <w:tcW w:w="680" w:type="pct"/>
            <w:shd w:val="clear" w:color="auto" w:fill="auto"/>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b/>
                <w:bCs/>
                <w:sz w:val="26"/>
                <w:szCs w:val="26"/>
              </w:rPr>
              <w:t>Quan hệ phối hợp</w:t>
            </w:r>
          </w:p>
        </w:tc>
        <w:tc>
          <w:tcPr>
            <w:tcW w:w="600" w:type="pct"/>
            <w:shd w:val="clear" w:color="auto" w:fill="auto"/>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 xml:space="preserve"> </w:t>
            </w:r>
            <w:r w:rsidRPr="00F44CB7">
              <w:rPr>
                <w:rFonts w:ascii="Times New Roman" w:hAnsi="Times New Roman"/>
                <w:b/>
                <w:bCs/>
                <w:sz w:val="26"/>
                <w:szCs w:val="26"/>
              </w:rPr>
              <w:t>Sử dụng công nghệ thông tin</w:t>
            </w:r>
          </w:p>
        </w:tc>
        <w:tc>
          <w:tcPr>
            <w:tcW w:w="555" w:type="pct"/>
            <w:shd w:val="clear" w:color="auto" w:fill="auto"/>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 xml:space="preserve"> </w:t>
            </w:r>
            <w:r w:rsidRPr="00F44CB7">
              <w:rPr>
                <w:rFonts w:ascii="Times New Roman" w:hAnsi="Times New Roman"/>
                <w:b/>
                <w:bCs/>
                <w:sz w:val="26"/>
                <w:szCs w:val="26"/>
              </w:rPr>
              <w:t>Sử dụng ngoại ngữ</w:t>
            </w:r>
          </w:p>
        </w:tc>
      </w:tr>
      <w:tr w:rsidR="00F44CB7" w:rsidRPr="00F44CB7" w:rsidTr="009C4DB1">
        <w:tblPrEx>
          <w:tblCellMar>
            <w:top w:w="0" w:type="dxa"/>
            <w:left w:w="0" w:type="dxa"/>
            <w:bottom w:w="0" w:type="dxa"/>
            <w:right w:w="0" w:type="dxa"/>
          </w:tblCellMar>
        </w:tblPrEx>
        <w:tc>
          <w:tcPr>
            <w:tcW w:w="299" w:type="pct"/>
            <w:shd w:val="clear" w:color="auto" w:fill="auto"/>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5</w:t>
            </w:r>
          </w:p>
        </w:tc>
        <w:tc>
          <w:tcPr>
            <w:tcW w:w="529"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Tạo dựng văn hóa dẫn dắt việc thực hiện đạo đức và bản lĩnh.</w:t>
            </w:r>
          </w:p>
        </w:tc>
        <w:tc>
          <w:tcPr>
            <w:tcW w:w="858"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Đưa ra các định hướng chiến lược.</w:t>
            </w:r>
          </w:p>
        </w:tc>
        <w:tc>
          <w:tcPr>
            <w:tcW w:w="887"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Phân tích, đánh giá, phản biện, hoạch định chính sách.</w:t>
            </w:r>
          </w:p>
        </w:tc>
        <w:tc>
          <w:tcPr>
            <w:tcW w:w="592"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Giao tiếp tốt về vấn đề mang tính chiến lược.</w:t>
            </w:r>
          </w:p>
        </w:tc>
        <w:tc>
          <w:tcPr>
            <w:tcW w:w="680"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Thiết lập các định hướng quan hệ đối tác chiến lược.</w:t>
            </w:r>
          </w:p>
        </w:tc>
        <w:tc>
          <w:tcPr>
            <w:tcW w:w="600"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Am hiểu về công nghệ thông tin và có khả năng lập trình phần mềm chuyên ngành.</w:t>
            </w:r>
          </w:p>
        </w:tc>
        <w:tc>
          <w:tcPr>
            <w:tcW w:w="555"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Sử dụng thành thạo một ngôn ngữ nước ngoài.</w:t>
            </w:r>
          </w:p>
        </w:tc>
      </w:tr>
      <w:tr w:rsidR="00F44CB7" w:rsidRPr="00F44CB7" w:rsidTr="009C4DB1">
        <w:tblPrEx>
          <w:tblCellMar>
            <w:top w:w="0" w:type="dxa"/>
            <w:left w:w="0" w:type="dxa"/>
            <w:bottom w:w="0" w:type="dxa"/>
            <w:right w:w="0" w:type="dxa"/>
          </w:tblCellMar>
        </w:tblPrEx>
        <w:tc>
          <w:tcPr>
            <w:tcW w:w="299" w:type="pct"/>
            <w:shd w:val="clear" w:color="auto" w:fill="auto"/>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4</w:t>
            </w:r>
          </w:p>
        </w:tc>
        <w:tc>
          <w:tcPr>
            <w:tcW w:w="529"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Chủ động, trách nhiệm cao với công việc; hướng dẫn, kiểm tra việc thực hiện.</w:t>
            </w:r>
          </w:p>
        </w:tc>
        <w:tc>
          <w:tcPr>
            <w:tcW w:w="858"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Nhận biết trước và thích ứng với yêu cầu mới của công việc; phát huy nguồn lực bên trong và bên ngoài để có giải pháp đảm bảo chất lượng công việc.</w:t>
            </w:r>
          </w:p>
        </w:tc>
        <w:tc>
          <w:tcPr>
            <w:tcW w:w="887"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Hiểu biết về vai trò, tác động xã hội của chính sách; xây dựng khung pháp lý hỗ trợ việc thực thi chính sách.</w:t>
            </w:r>
          </w:p>
        </w:tc>
        <w:tc>
          <w:tcPr>
            <w:tcW w:w="592"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Giao tiếp tốt trong và ngoài cơ quan, đơn vị.</w:t>
            </w:r>
          </w:p>
        </w:tc>
        <w:tc>
          <w:tcPr>
            <w:tcW w:w="680"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Thiết lập mạng lưới quan hệ ở nhiều cấp.</w:t>
            </w:r>
          </w:p>
        </w:tc>
        <w:tc>
          <w:tcPr>
            <w:tcW w:w="600"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Am hiểu về công nghệ thông tin và sử dụng được nhiều công cụ về công nghệ thông tin ở trình độ cao.</w:t>
            </w:r>
          </w:p>
        </w:tc>
        <w:tc>
          <w:tcPr>
            <w:tcW w:w="555"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Giao tiếp trôi chảy, linh hoạt một ngôn ngữ nước ngoài.</w:t>
            </w:r>
          </w:p>
        </w:tc>
      </w:tr>
      <w:tr w:rsidR="00F44CB7" w:rsidRPr="00F44CB7" w:rsidTr="009C4DB1">
        <w:tblPrEx>
          <w:tblCellMar>
            <w:top w:w="0" w:type="dxa"/>
            <w:left w:w="0" w:type="dxa"/>
            <w:bottom w:w="0" w:type="dxa"/>
            <w:right w:w="0" w:type="dxa"/>
          </w:tblCellMar>
        </w:tblPrEx>
        <w:tc>
          <w:tcPr>
            <w:tcW w:w="299" w:type="pct"/>
            <w:shd w:val="clear" w:color="auto" w:fill="auto"/>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3</w:t>
            </w:r>
          </w:p>
        </w:tc>
        <w:tc>
          <w:tcPr>
            <w:tcW w:w="529"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xml:space="preserve">Trách nhiệm cao với công việc được giao, gương </w:t>
            </w:r>
            <w:r w:rsidRPr="00F44CB7">
              <w:rPr>
                <w:rFonts w:ascii="Times New Roman" w:hAnsi="Times New Roman"/>
                <w:sz w:val="26"/>
                <w:szCs w:val="26"/>
              </w:rPr>
              <w:lastRenderedPageBreak/>
              <w:t>mẫu trong thực hiện.</w:t>
            </w:r>
          </w:p>
        </w:tc>
        <w:tc>
          <w:tcPr>
            <w:tcW w:w="858"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lastRenderedPageBreak/>
              <w:t xml:space="preserve">Đề xuất điều chỉnh thủ tục, quy trình, cách thức, phương pháp làm việc kịp thời, để đáp ứng tốt hơn </w:t>
            </w:r>
            <w:r w:rsidRPr="00F44CB7">
              <w:rPr>
                <w:rFonts w:ascii="Times New Roman" w:hAnsi="Times New Roman"/>
                <w:sz w:val="26"/>
                <w:szCs w:val="26"/>
              </w:rPr>
              <w:lastRenderedPageBreak/>
              <w:t>nhu cầu của cơ quan, địa phương.</w:t>
            </w:r>
          </w:p>
        </w:tc>
        <w:tc>
          <w:tcPr>
            <w:tcW w:w="887"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lastRenderedPageBreak/>
              <w:t xml:space="preserve">Phân tích, đánh giá, đề xuất chính sách phù hợp với chiến lược, định hướng dài hạn của cơ quan, đơn vị, </w:t>
            </w:r>
            <w:r w:rsidRPr="00F44CB7">
              <w:rPr>
                <w:rFonts w:ascii="Times New Roman" w:hAnsi="Times New Roman"/>
                <w:sz w:val="26"/>
                <w:szCs w:val="26"/>
              </w:rPr>
              <w:lastRenderedPageBreak/>
              <w:t>địa phương.</w:t>
            </w:r>
          </w:p>
        </w:tc>
        <w:tc>
          <w:tcPr>
            <w:tcW w:w="592"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lastRenderedPageBreak/>
              <w:t>Giao tiếp tốt trong nội bộ cơ quan, đơn vị.</w:t>
            </w:r>
          </w:p>
        </w:tc>
        <w:tc>
          <w:tcPr>
            <w:tcW w:w="680"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Tìm kiếm cơ hội xây dựng và mở rộng mạng lưới quan hệ công tác.</w:t>
            </w:r>
          </w:p>
        </w:tc>
        <w:tc>
          <w:tcPr>
            <w:tcW w:w="600"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xml:space="preserve">Hiểu biết cơ bản về công nghệ thông tin và sử dụng một số phần mềm </w:t>
            </w:r>
            <w:r w:rsidRPr="00F44CB7">
              <w:rPr>
                <w:rFonts w:ascii="Times New Roman" w:hAnsi="Times New Roman"/>
                <w:sz w:val="26"/>
                <w:szCs w:val="26"/>
              </w:rPr>
              <w:lastRenderedPageBreak/>
              <w:t>nâng cao, quản trị cơ sở dữ liệu.</w:t>
            </w:r>
          </w:p>
        </w:tc>
        <w:tc>
          <w:tcPr>
            <w:tcW w:w="555"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lastRenderedPageBreak/>
              <w:t xml:space="preserve">Trao đổi, giải thích được những thông tin phức tạp bằng một ngôn ngữ </w:t>
            </w:r>
            <w:r w:rsidRPr="00F44CB7">
              <w:rPr>
                <w:rFonts w:ascii="Times New Roman" w:hAnsi="Times New Roman"/>
                <w:sz w:val="26"/>
                <w:szCs w:val="26"/>
              </w:rPr>
              <w:lastRenderedPageBreak/>
              <w:t>nước ngoài.</w:t>
            </w:r>
          </w:p>
        </w:tc>
      </w:tr>
      <w:tr w:rsidR="00F44CB7" w:rsidRPr="00F44CB7" w:rsidTr="009C4DB1">
        <w:tblPrEx>
          <w:tblCellMar>
            <w:top w:w="0" w:type="dxa"/>
            <w:left w:w="0" w:type="dxa"/>
            <w:bottom w:w="0" w:type="dxa"/>
            <w:right w:w="0" w:type="dxa"/>
          </w:tblCellMar>
        </w:tblPrEx>
        <w:tc>
          <w:tcPr>
            <w:tcW w:w="299" w:type="pct"/>
            <w:shd w:val="clear" w:color="auto" w:fill="auto"/>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lastRenderedPageBreak/>
              <w:t>2</w:t>
            </w:r>
          </w:p>
        </w:tc>
        <w:tc>
          <w:tcPr>
            <w:tcW w:w="529"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Tự nhận trách nhiệm với công việc được giao, chuẩn mực trong thực hiện.</w:t>
            </w:r>
          </w:p>
        </w:tc>
        <w:tc>
          <w:tcPr>
            <w:tcW w:w="858"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Linh hoạt trong tổ chức thực hiện công việc nhằm đảm bảo các tiêu chuẩn chất lượng đã thống nhất.</w:t>
            </w:r>
          </w:p>
        </w:tc>
        <w:tc>
          <w:tcPr>
            <w:tcW w:w="887"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Nắm vững các quy định và vai trò, tác động của hệ thống văn bản của Đảng, văn bản pháp quy và văn bản hành chính của cơ quan có thẩm quyền.</w:t>
            </w:r>
          </w:p>
        </w:tc>
        <w:tc>
          <w:tcPr>
            <w:tcW w:w="592"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Thúc đẩy giao tiếp hai chiều.</w:t>
            </w:r>
          </w:p>
        </w:tc>
        <w:tc>
          <w:tcPr>
            <w:tcW w:w="680"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Thiết lập được mạng lưới quan hệ tốt trong nội bộ.</w:t>
            </w:r>
          </w:p>
        </w:tc>
        <w:tc>
          <w:tcPr>
            <w:tcW w:w="600"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Hiểu biết cơ bản về máy tính và sử dụng một số phần mềm nâng cao.</w:t>
            </w:r>
          </w:p>
        </w:tc>
        <w:tc>
          <w:tcPr>
            <w:tcW w:w="555"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Trao đổi, trình bày thông tin ngắn gọn bằng một ngôn ngữ nước ngoài.</w:t>
            </w:r>
          </w:p>
        </w:tc>
      </w:tr>
      <w:tr w:rsidR="00F44CB7" w:rsidRPr="00F44CB7" w:rsidTr="009C4DB1">
        <w:tblPrEx>
          <w:tblCellMar>
            <w:top w:w="0" w:type="dxa"/>
            <w:left w:w="0" w:type="dxa"/>
            <w:bottom w:w="0" w:type="dxa"/>
            <w:right w:w="0" w:type="dxa"/>
          </w:tblCellMar>
        </w:tblPrEx>
        <w:tc>
          <w:tcPr>
            <w:tcW w:w="299" w:type="pct"/>
            <w:shd w:val="clear" w:color="auto" w:fill="auto"/>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1</w:t>
            </w:r>
          </w:p>
        </w:tc>
        <w:tc>
          <w:tcPr>
            <w:tcW w:w="529"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Trách nhiệm với công việc được giao, chuẩn mực trong thực hiện.</w:t>
            </w:r>
          </w:p>
        </w:tc>
        <w:tc>
          <w:tcPr>
            <w:tcW w:w="858"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Tổ chức thực hiện công việc theo tiêu chuẩn chất lượng, quy trình có sẵn.</w:t>
            </w:r>
          </w:p>
        </w:tc>
        <w:tc>
          <w:tcPr>
            <w:tcW w:w="887"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Nắm được các quy định về văn bản của Đảng, văn bản pháp quy và văn bản hành chính để áp dụng vào công việc chuyên môn.</w:t>
            </w:r>
          </w:p>
        </w:tc>
        <w:tc>
          <w:tcPr>
            <w:tcW w:w="592"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Nghe và trình bày thông tin một cách rõ ràng.</w:t>
            </w:r>
          </w:p>
        </w:tc>
        <w:tc>
          <w:tcPr>
            <w:tcW w:w="680"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Tạo mối quan hệ tốt, chủ động phối hợp với đồng nghiệp trong công việc.</w:t>
            </w:r>
          </w:p>
        </w:tc>
        <w:tc>
          <w:tcPr>
            <w:tcW w:w="600"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Hiểu biết và sử dụng máy tính và một số phần mềm cơ bản.</w:t>
            </w:r>
          </w:p>
        </w:tc>
        <w:tc>
          <w:tcPr>
            <w:tcW w:w="555" w:type="pct"/>
            <w:shd w:val="clear" w:color="auto" w:fill="auto"/>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Giao tiếp cơ bản bằng một ngôn ngữ nước ngoài.</w:t>
            </w:r>
          </w:p>
        </w:tc>
      </w:tr>
    </w:tbl>
    <w:p w:rsidR="00F44CB7" w:rsidRPr="00F44CB7" w:rsidRDefault="00F44CB7" w:rsidP="00F44CB7">
      <w:pPr>
        <w:autoSpaceDE w:val="0"/>
        <w:autoSpaceDN w:val="0"/>
        <w:adjustRightInd w:val="0"/>
        <w:spacing w:before="120"/>
        <w:jc w:val="center"/>
        <w:rPr>
          <w:rFonts w:ascii="Times New Roman" w:hAnsi="Times New Roman"/>
          <w:sz w:val="26"/>
          <w:szCs w:val="26"/>
        </w:rPr>
      </w:pPr>
    </w:p>
    <w:p w:rsidR="00F44CB7" w:rsidRPr="00F44CB7" w:rsidRDefault="00F44CB7" w:rsidP="00F44CB7">
      <w:pPr>
        <w:autoSpaceDE w:val="0"/>
        <w:autoSpaceDN w:val="0"/>
        <w:adjustRightInd w:val="0"/>
        <w:spacing w:before="120"/>
        <w:rPr>
          <w:rFonts w:ascii="Times New Roman" w:hAnsi="Times New Roman"/>
          <w:sz w:val="26"/>
          <w:szCs w:val="26"/>
        </w:rPr>
      </w:pPr>
      <w:r w:rsidRPr="00F44CB7">
        <w:rPr>
          <w:rFonts w:ascii="Times New Roman" w:hAnsi="Times New Roman"/>
          <w:i/>
          <w:iCs/>
          <w:sz w:val="26"/>
          <w:szCs w:val="26"/>
          <w:u w:val="single"/>
        </w:rPr>
        <w:t>Ghi chú</w:t>
      </w:r>
      <w:r w:rsidRPr="00F44CB7">
        <w:rPr>
          <w:rFonts w:ascii="Times New Roman" w:hAnsi="Times New Roman"/>
          <w:i/>
          <w:iCs/>
          <w:sz w:val="26"/>
          <w:szCs w:val="26"/>
        </w:rPr>
        <w:t>: Cấp độ được xác định từ cao xuống thấp, tương ứng từ 5 đến 1.</w:t>
      </w:r>
    </w:p>
    <w:p w:rsidR="00F44CB7" w:rsidRPr="00F44CB7" w:rsidRDefault="00F44CB7" w:rsidP="00F44CB7">
      <w:pPr>
        <w:autoSpaceDE w:val="0"/>
        <w:autoSpaceDN w:val="0"/>
        <w:adjustRightInd w:val="0"/>
        <w:spacing w:before="120"/>
        <w:rPr>
          <w:rFonts w:ascii="Times New Roman" w:hAnsi="Times New Roman"/>
          <w:sz w:val="26"/>
          <w:szCs w:val="26"/>
        </w:rPr>
      </w:pPr>
    </w:p>
    <w:p w:rsidR="00F44CB7" w:rsidRPr="00F44CB7" w:rsidRDefault="00F44CB7" w:rsidP="00F44CB7">
      <w:pPr>
        <w:autoSpaceDE w:val="0"/>
        <w:autoSpaceDN w:val="0"/>
        <w:adjustRightInd w:val="0"/>
        <w:spacing w:before="120"/>
        <w:jc w:val="center"/>
        <w:rPr>
          <w:rFonts w:ascii="Times New Roman" w:hAnsi="Times New Roman"/>
          <w:bCs/>
          <w:sz w:val="26"/>
          <w:szCs w:val="26"/>
        </w:rPr>
      </w:pPr>
      <w:r w:rsidRPr="00F44CB7">
        <w:rPr>
          <w:rFonts w:ascii="Times New Roman" w:hAnsi="Times New Roman"/>
          <w:bCs/>
          <w:sz w:val="26"/>
          <w:szCs w:val="26"/>
        </w:rPr>
        <w:t xml:space="preserve">NỘI DUNG VÀ CẤP ĐỘ XÁC ĐỊNH CỦA NHÓM NĂNG LỰC CHUYÊN MÔN ĐỐI VỚI CÔNG CHỨC LÃNH ĐẠO, QUẢN LÝ; CÔNG CHỨC, VIÊN CHỨC TRONG CƠ QUAN, TỔ CHỨC HÀNH CHÍNH, ĐƠN VỊ SỰ NGHIỆP CÔNG LẬP </w:t>
      </w:r>
    </w:p>
    <w:p w:rsidR="00F44CB7" w:rsidRPr="00F44CB7" w:rsidRDefault="00F44CB7" w:rsidP="00F44CB7">
      <w:pPr>
        <w:rPr>
          <w:rFonts w:ascii="Times New Roman" w:hAnsi="Times New Roman"/>
          <w:sz w:val="26"/>
          <w:szCs w:val="26"/>
        </w:rPr>
      </w:pPr>
      <w:r w:rsidRPr="00F44CB7">
        <w:rPr>
          <w:rFonts w:ascii="Times New Roman" w:hAnsi="Times New Roman"/>
          <w:bCs/>
          <w:i/>
          <w:iCs/>
          <w:sz w:val="26"/>
          <w:szCs w:val="26"/>
        </w:rPr>
        <w:t>(</w:t>
      </w:r>
      <w:r w:rsidRPr="00F44CB7">
        <w:rPr>
          <w:rFonts w:ascii="Times New Roman" w:hAnsi="Times New Roman"/>
          <w:i/>
          <w:iCs/>
          <w:sz w:val="26"/>
          <w:szCs w:val="26"/>
        </w:rPr>
        <w:t>Ban hành kèm theo Thông tư số 12/2022/TT-BNV ngày 30 tháng 12 năm 2022 của Bộ trưởng Bộ Nội vụ)</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8"/>
        <w:gridCol w:w="1994"/>
        <w:gridCol w:w="1889"/>
        <w:gridCol w:w="1680"/>
        <w:gridCol w:w="1573"/>
        <w:gridCol w:w="1416"/>
      </w:tblGrid>
      <w:tr w:rsidR="00F44CB7" w:rsidRPr="00F44CB7" w:rsidTr="009C4DB1">
        <w:tc>
          <w:tcPr>
            <w:tcW w:w="234" w:type="pct"/>
            <w:vMerge w:val="restar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b/>
                <w:bCs/>
                <w:sz w:val="26"/>
                <w:szCs w:val="26"/>
              </w:rPr>
              <w:t>Cấp</w:t>
            </w:r>
            <w:r w:rsidRPr="00F44CB7">
              <w:rPr>
                <w:rFonts w:ascii="Times New Roman" w:hAnsi="Times New Roman"/>
                <w:sz w:val="26"/>
                <w:szCs w:val="26"/>
              </w:rPr>
              <w:t xml:space="preserve"> </w:t>
            </w:r>
            <w:r w:rsidRPr="00F44CB7">
              <w:rPr>
                <w:rFonts w:ascii="Times New Roman" w:hAnsi="Times New Roman"/>
                <w:b/>
                <w:bCs/>
                <w:sz w:val="26"/>
                <w:szCs w:val="26"/>
              </w:rPr>
              <w:t>độ</w:t>
            </w:r>
          </w:p>
        </w:tc>
        <w:tc>
          <w:tcPr>
            <w:tcW w:w="4766" w:type="pct"/>
            <w:gridSpan w:val="5"/>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b/>
                <w:bCs/>
                <w:sz w:val="26"/>
                <w:szCs w:val="26"/>
              </w:rPr>
              <w:t>Nhóm năng lực chuyên môn</w:t>
            </w:r>
          </w:p>
        </w:tc>
      </w:tr>
      <w:tr w:rsidR="00F44CB7" w:rsidRPr="00F44CB7" w:rsidTr="009C4DB1">
        <w:tc>
          <w:tcPr>
            <w:tcW w:w="0" w:type="auto"/>
            <w:vMerge/>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spacing w:before="120"/>
              <w:rPr>
                <w:rFonts w:ascii="Times New Roman" w:hAnsi="Times New Roman"/>
                <w:sz w:val="26"/>
                <w:szCs w:val="26"/>
              </w:rPr>
            </w:pPr>
          </w:p>
        </w:tc>
        <w:tc>
          <w:tcPr>
            <w:tcW w:w="1111" w:type="pc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b/>
                <w:bCs/>
                <w:sz w:val="26"/>
                <w:szCs w:val="26"/>
              </w:rPr>
              <w:t>Tham mưu xây dựng</w:t>
            </w:r>
            <w:r w:rsidRPr="00F44CB7">
              <w:rPr>
                <w:rFonts w:ascii="Times New Roman" w:hAnsi="Times New Roman"/>
                <w:sz w:val="26"/>
                <w:szCs w:val="26"/>
              </w:rPr>
              <w:t xml:space="preserve"> </w:t>
            </w:r>
            <w:r w:rsidRPr="00F44CB7">
              <w:rPr>
                <w:rFonts w:ascii="Times New Roman" w:hAnsi="Times New Roman"/>
                <w:b/>
                <w:bCs/>
                <w:sz w:val="26"/>
                <w:szCs w:val="26"/>
              </w:rPr>
              <w:t>văn bản</w:t>
            </w:r>
          </w:p>
        </w:tc>
        <w:tc>
          <w:tcPr>
            <w:tcW w:w="1052" w:type="pc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b/>
                <w:bCs/>
                <w:sz w:val="26"/>
                <w:szCs w:val="26"/>
              </w:rPr>
              <w:t>Hướng dẫn thực hiện</w:t>
            </w:r>
            <w:r w:rsidRPr="00F44CB7">
              <w:rPr>
                <w:rFonts w:ascii="Times New Roman" w:hAnsi="Times New Roman"/>
                <w:sz w:val="26"/>
                <w:szCs w:val="26"/>
              </w:rPr>
              <w:t xml:space="preserve"> </w:t>
            </w:r>
            <w:r w:rsidRPr="00F44CB7">
              <w:rPr>
                <w:rFonts w:ascii="Times New Roman" w:hAnsi="Times New Roman"/>
                <w:b/>
                <w:bCs/>
                <w:sz w:val="26"/>
                <w:szCs w:val="26"/>
              </w:rPr>
              <w:t>văn bản</w:t>
            </w:r>
          </w:p>
        </w:tc>
        <w:tc>
          <w:tcPr>
            <w:tcW w:w="936" w:type="pc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b/>
                <w:bCs/>
                <w:sz w:val="26"/>
                <w:szCs w:val="26"/>
              </w:rPr>
              <w:t>Kiểm tra thực hiện</w:t>
            </w:r>
            <w:r w:rsidRPr="00F44CB7">
              <w:rPr>
                <w:rFonts w:ascii="Times New Roman" w:hAnsi="Times New Roman"/>
                <w:sz w:val="26"/>
                <w:szCs w:val="26"/>
              </w:rPr>
              <w:t xml:space="preserve"> </w:t>
            </w:r>
            <w:r w:rsidRPr="00F44CB7">
              <w:rPr>
                <w:rFonts w:ascii="Times New Roman" w:hAnsi="Times New Roman"/>
                <w:b/>
                <w:bCs/>
                <w:sz w:val="26"/>
                <w:szCs w:val="26"/>
              </w:rPr>
              <w:t>văn bản</w:t>
            </w:r>
          </w:p>
        </w:tc>
        <w:tc>
          <w:tcPr>
            <w:tcW w:w="877" w:type="pc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b/>
                <w:bCs/>
                <w:sz w:val="26"/>
                <w:szCs w:val="26"/>
              </w:rPr>
              <w:t>Thẩm định văn bản</w:t>
            </w:r>
          </w:p>
        </w:tc>
        <w:tc>
          <w:tcPr>
            <w:tcW w:w="790" w:type="pc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b/>
                <w:bCs/>
                <w:sz w:val="26"/>
                <w:szCs w:val="26"/>
              </w:rPr>
              <w:t>Tổ chức thực hiện</w:t>
            </w:r>
            <w:r w:rsidRPr="00F44CB7">
              <w:rPr>
                <w:rFonts w:ascii="Times New Roman" w:hAnsi="Times New Roman"/>
                <w:sz w:val="26"/>
                <w:szCs w:val="26"/>
              </w:rPr>
              <w:t xml:space="preserve"> </w:t>
            </w:r>
            <w:r w:rsidRPr="00F44CB7">
              <w:rPr>
                <w:rFonts w:ascii="Times New Roman" w:hAnsi="Times New Roman"/>
                <w:b/>
                <w:bCs/>
                <w:sz w:val="26"/>
                <w:szCs w:val="26"/>
              </w:rPr>
              <w:t>văn bản</w:t>
            </w:r>
          </w:p>
        </w:tc>
      </w:tr>
      <w:tr w:rsidR="00F44CB7" w:rsidRPr="00F44CB7" w:rsidTr="009C4DB1">
        <w:tc>
          <w:tcPr>
            <w:tcW w:w="234" w:type="pc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5</w:t>
            </w:r>
          </w:p>
        </w:tc>
        <w:tc>
          <w:tcPr>
            <w:tcW w:w="1111" w:type="pc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xml:space="preserve">- Chủ trì nghiên cứu xây dựng văn bản thuộc phạm vi </w:t>
            </w:r>
            <w:r w:rsidRPr="00F44CB7">
              <w:rPr>
                <w:rFonts w:ascii="Times New Roman" w:hAnsi="Times New Roman"/>
                <w:sz w:val="26"/>
                <w:szCs w:val="26"/>
              </w:rPr>
              <w:lastRenderedPageBreak/>
              <w:t>quản lý, trình cấp có thẩm quyền ban hành.</w:t>
            </w:r>
          </w:p>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Chủ trì nghiên cứu đề xuất xây dựng các đề án của hệ thống chính trị hoặc của ngành, lĩnh vực công tác được phân công.</w:t>
            </w:r>
          </w:p>
        </w:tc>
        <w:tc>
          <w:tcPr>
            <w:tcW w:w="1052" w:type="pc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lastRenderedPageBreak/>
              <w:t xml:space="preserve">- Chủ trì xây dựng hướng dẫn thực hiện các văn </w:t>
            </w:r>
            <w:r w:rsidRPr="00F44CB7">
              <w:rPr>
                <w:rFonts w:ascii="Times New Roman" w:hAnsi="Times New Roman"/>
                <w:sz w:val="26"/>
                <w:szCs w:val="26"/>
              </w:rPr>
              <w:lastRenderedPageBreak/>
              <w:t>bản thuộc phạm vi quản lý.</w:t>
            </w:r>
          </w:p>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Chủ trì xây dựng giáo trình; tham gia giảng dạy các lớp đào tạo, bồi dưỡng chuyên môn, nghiệp vụ cho cán bộ, công chức.</w:t>
            </w:r>
          </w:p>
        </w:tc>
        <w:tc>
          <w:tcPr>
            <w:tcW w:w="936" w:type="pc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lastRenderedPageBreak/>
              <w:t>-</w:t>
            </w:r>
          </w:p>
        </w:tc>
        <w:tc>
          <w:tcPr>
            <w:tcW w:w="877" w:type="pc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xml:space="preserve">Chủ trì tổ chức thẩm định các văn bản thuộc </w:t>
            </w:r>
            <w:r w:rsidRPr="00F44CB7">
              <w:rPr>
                <w:rFonts w:ascii="Times New Roman" w:hAnsi="Times New Roman"/>
                <w:sz w:val="26"/>
                <w:szCs w:val="26"/>
              </w:rPr>
              <w:lastRenderedPageBreak/>
              <w:t>lĩnh vực công tác được phân công.</w:t>
            </w:r>
          </w:p>
        </w:tc>
        <w:tc>
          <w:tcPr>
            <w:tcW w:w="790" w:type="pc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lastRenderedPageBreak/>
              <w:t>-</w:t>
            </w:r>
          </w:p>
        </w:tc>
      </w:tr>
      <w:tr w:rsidR="00F44CB7" w:rsidRPr="00F44CB7" w:rsidTr="009C4DB1">
        <w:tc>
          <w:tcPr>
            <w:tcW w:w="234" w:type="pc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lastRenderedPageBreak/>
              <w:t>4</w:t>
            </w:r>
          </w:p>
        </w:tc>
        <w:tc>
          <w:tcPr>
            <w:tcW w:w="1111" w:type="pc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Chủ trì nghiên cứu xây dựng các văn bản thuộc phạm vi quản lý, trình cấp có thẩm quyền ban hành.</w:t>
            </w:r>
          </w:p>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Chủ trì xây dựng kế hoạch triển khai thực hiện các văn bản thuộc phạm vi quản lý.</w:t>
            </w:r>
          </w:p>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Tham gia xây dựng đề án trình cấp có thẩm quyền theo lĩnh vực công tác được phân công.</w:t>
            </w:r>
          </w:p>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Chủ trì xây dựng các văn bản quản lý của ngành, địa phương.</w:t>
            </w:r>
          </w:p>
        </w:tc>
        <w:tc>
          <w:tcPr>
            <w:tcW w:w="1052" w:type="pc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Chủ trì xây dựng hướng dẫn triển khai thực hiện các văn bản thuộc phạm vi quản lý.</w:t>
            </w:r>
          </w:p>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Tham gia giảng dạy các lớp đào tạo, bồi dưỡng nghiệp vụ cho cán bộ, công chức.</w:t>
            </w:r>
          </w:p>
        </w:tc>
        <w:tc>
          <w:tcPr>
            <w:tcW w:w="936" w:type="pc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Chủ trì tổ chức kiểm tra, phân tích đánh giá, báo cáo tổng kết việc thực hiện các văn bản thuộc phạm vi quản lý theo nhiệm vụ được phân công; đề xuất chủ trương, biện pháp uốn nắn, điều chỉnh.</w:t>
            </w:r>
          </w:p>
        </w:tc>
        <w:tc>
          <w:tcPr>
            <w:tcW w:w="877" w:type="pc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Tổ chức thẩm định các văn bản thuộc lĩnh vực công tác được phân công.</w:t>
            </w:r>
          </w:p>
        </w:tc>
        <w:tc>
          <w:tcPr>
            <w:tcW w:w="790" w:type="pct"/>
            <w:tcBorders>
              <w:top w:val="single" w:sz="2" w:space="0" w:color="auto"/>
              <w:left w:val="single" w:sz="2" w:space="0" w:color="auto"/>
              <w:bottom w:val="single" w:sz="2" w:space="0" w:color="auto"/>
              <w:right w:val="single" w:sz="2" w:space="0" w:color="auto"/>
            </w:tcBorders>
            <w:vAlign w:val="center"/>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w:t>
            </w:r>
          </w:p>
        </w:tc>
      </w:tr>
      <w:tr w:rsidR="00F44CB7" w:rsidRPr="00F44CB7" w:rsidTr="009C4DB1">
        <w:tc>
          <w:tcPr>
            <w:tcW w:w="234" w:type="pct"/>
            <w:tcBorders>
              <w:top w:val="single" w:sz="2" w:space="0" w:color="auto"/>
              <w:left w:val="single" w:sz="2" w:space="0" w:color="auto"/>
              <w:bottom w:val="single" w:sz="2" w:space="0" w:color="auto"/>
              <w:right w:val="single" w:sz="2" w:space="0" w:color="auto"/>
            </w:tcBorders>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3</w:t>
            </w:r>
          </w:p>
        </w:tc>
        <w:tc>
          <w:tcPr>
            <w:tcW w:w="1111" w:type="pct"/>
            <w:tcBorders>
              <w:top w:val="single" w:sz="2" w:space="0" w:color="auto"/>
              <w:left w:val="single" w:sz="2" w:space="0" w:color="auto"/>
              <w:bottom w:val="single" w:sz="2" w:space="0" w:color="auto"/>
              <w:right w:val="single" w:sz="2" w:space="0" w:color="auto"/>
            </w:tcBorders>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Tham gia xây dựng các văn bản thuộc phạm vi quản lý.</w:t>
            </w:r>
          </w:p>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Tham gia xây dựng kế hoạch triển khai thực hiện các văn bản thuộc phạm vi quản lý.</w:t>
            </w:r>
          </w:p>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xml:space="preserve">- Tham gia xây </w:t>
            </w:r>
            <w:r w:rsidRPr="00F44CB7">
              <w:rPr>
                <w:rFonts w:ascii="Times New Roman" w:hAnsi="Times New Roman"/>
                <w:sz w:val="26"/>
                <w:szCs w:val="26"/>
              </w:rPr>
              <w:lastRenderedPageBreak/>
              <w:t>dựng đề án trình cấp có thẩm quyền theo lĩnh vực công tác được phân công.</w:t>
            </w:r>
          </w:p>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Chủ trì xây dựng các văn bản quản lý của ngành, địa phương.</w:t>
            </w:r>
          </w:p>
        </w:tc>
        <w:tc>
          <w:tcPr>
            <w:tcW w:w="1052" w:type="pct"/>
            <w:tcBorders>
              <w:top w:val="single" w:sz="2" w:space="0" w:color="auto"/>
              <w:left w:val="single" w:sz="2" w:space="0" w:color="auto"/>
              <w:bottom w:val="single" w:sz="2" w:space="0" w:color="auto"/>
              <w:right w:val="single" w:sz="2" w:space="0" w:color="auto"/>
            </w:tcBorders>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lastRenderedPageBreak/>
              <w:t>- Tham gia xây dựng hướng dẫn thực hiện các văn bản thuộc phạm vi quản lý.</w:t>
            </w:r>
          </w:p>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Tham gia hướng dẫn nghiệp vụ cho cấp dưới.</w:t>
            </w:r>
          </w:p>
        </w:tc>
        <w:tc>
          <w:tcPr>
            <w:tcW w:w="936" w:type="pct"/>
            <w:tcBorders>
              <w:top w:val="single" w:sz="2" w:space="0" w:color="auto"/>
              <w:left w:val="single" w:sz="2" w:space="0" w:color="auto"/>
              <w:bottom w:val="single" w:sz="2" w:space="0" w:color="auto"/>
              <w:right w:val="single" w:sz="2" w:space="0" w:color="auto"/>
            </w:tcBorders>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xml:space="preserve">Chủ trì tổ chức kiểm tra, phân tích đánh giá, báo cáo tổng kết việc thực hiện các văn bản thuộc phạm vi quản lý theo nhiệm vụ được phân công; đề xuất chủ trương, biện </w:t>
            </w:r>
            <w:r w:rsidRPr="00F44CB7">
              <w:rPr>
                <w:rFonts w:ascii="Times New Roman" w:hAnsi="Times New Roman"/>
                <w:sz w:val="26"/>
                <w:szCs w:val="26"/>
              </w:rPr>
              <w:lastRenderedPageBreak/>
              <w:t>pháp khắc phục, điều chỉnh.</w:t>
            </w:r>
          </w:p>
        </w:tc>
        <w:tc>
          <w:tcPr>
            <w:tcW w:w="877" w:type="pct"/>
            <w:tcBorders>
              <w:top w:val="single" w:sz="2" w:space="0" w:color="auto"/>
              <w:left w:val="single" w:sz="2" w:space="0" w:color="auto"/>
              <w:bottom w:val="single" w:sz="2" w:space="0" w:color="auto"/>
              <w:right w:val="single" w:sz="2" w:space="0" w:color="auto"/>
            </w:tcBorders>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lastRenderedPageBreak/>
              <w:t>Tham gia thẩm định các văn bản thuộc lĩnh vực công tác được phân công.</w:t>
            </w:r>
          </w:p>
        </w:tc>
        <w:tc>
          <w:tcPr>
            <w:tcW w:w="790" w:type="pct"/>
            <w:tcBorders>
              <w:top w:val="single" w:sz="2" w:space="0" w:color="auto"/>
              <w:left w:val="single" w:sz="2" w:space="0" w:color="auto"/>
              <w:bottom w:val="single" w:sz="2" w:space="0" w:color="auto"/>
              <w:right w:val="single" w:sz="2" w:space="0" w:color="auto"/>
            </w:tcBorders>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Chủ trì hoặc tham gia tổ chức triển khai thực hiện các hoạt động thuộc chuyên môn nghiệp vụ.</w:t>
            </w:r>
          </w:p>
        </w:tc>
        <w:bookmarkStart w:id="0" w:name="_GoBack"/>
        <w:bookmarkEnd w:id="0"/>
      </w:tr>
      <w:tr w:rsidR="00F44CB7" w:rsidRPr="00F44CB7" w:rsidTr="009C4DB1">
        <w:tc>
          <w:tcPr>
            <w:tcW w:w="234" w:type="pct"/>
            <w:tcBorders>
              <w:top w:val="single" w:sz="2" w:space="0" w:color="auto"/>
              <w:left w:val="single" w:sz="2" w:space="0" w:color="auto"/>
              <w:bottom w:val="single" w:sz="2" w:space="0" w:color="auto"/>
              <w:right w:val="single" w:sz="2" w:space="0" w:color="auto"/>
            </w:tcBorders>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lastRenderedPageBreak/>
              <w:t>2</w:t>
            </w:r>
          </w:p>
        </w:tc>
        <w:tc>
          <w:tcPr>
            <w:tcW w:w="1111" w:type="pct"/>
            <w:tcBorders>
              <w:top w:val="single" w:sz="2" w:space="0" w:color="auto"/>
              <w:left w:val="single" w:sz="2" w:space="0" w:color="auto"/>
              <w:bottom w:val="single" w:sz="2" w:space="0" w:color="auto"/>
              <w:right w:val="single" w:sz="2" w:space="0" w:color="auto"/>
            </w:tcBorders>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Tham gia xây dựng các văn bản thuộc thẩm quyền ban hành của cơ quan.</w:t>
            </w:r>
          </w:p>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Soạn thảo các quy định cụ thể, các văn bản khác thuộc phần việc được phân công.</w:t>
            </w:r>
          </w:p>
        </w:tc>
        <w:tc>
          <w:tcPr>
            <w:tcW w:w="1052" w:type="pct"/>
            <w:tcBorders>
              <w:top w:val="single" w:sz="2" w:space="0" w:color="auto"/>
              <w:left w:val="single" w:sz="2" w:space="0" w:color="auto"/>
              <w:bottom w:val="single" w:sz="2" w:space="0" w:color="auto"/>
              <w:right w:val="single" w:sz="2" w:space="0" w:color="auto"/>
            </w:tcBorders>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Khả năng hướng dẫn thực hiện nghiệp vụ cho cấp dưới.</w:t>
            </w:r>
          </w:p>
        </w:tc>
        <w:tc>
          <w:tcPr>
            <w:tcW w:w="936" w:type="pct"/>
            <w:tcBorders>
              <w:top w:val="single" w:sz="2" w:space="0" w:color="auto"/>
              <w:left w:val="single" w:sz="2" w:space="0" w:color="auto"/>
              <w:bottom w:val="single" w:sz="2" w:space="0" w:color="auto"/>
              <w:right w:val="single" w:sz="2" w:space="0" w:color="auto"/>
            </w:tcBorders>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Tổ chức theo dõi, kiểm tra và báo cáo tình hình về kết quả thực hiện các văn bản thuộc phạm vi quản lý; đề xuất biện pháp khắc phục, điều chỉnh.</w:t>
            </w:r>
          </w:p>
        </w:tc>
        <w:tc>
          <w:tcPr>
            <w:tcW w:w="877" w:type="pct"/>
            <w:tcBorders>
              <w:top w:val="single" w:sz="2" w:space="0" w:color="auto"/>
              <w:left w:val="single" w:sz="2" w:space="0" w:color="auto"/>
              <w:bottom w:val="single" w:sz="2" w:space="0" w:color="auto"/>
              <w:right w:val="single" w:sz="2" w:space="0" w:color="auto"/>
            </w:tcBorders>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w:t>
            </w:r>
          </w:p>
        </w:tc>
        <w:tc>
          <w:tcPr>
            <w:tcW w:w="790" w:type="pct"/>
            <w:tcBorders>
              <w:top w:val="single" w:sz="2" w:space="0" w:color="auto"/>
              <w:left w:val="single" w:sz="2" w:space="0" w:color="auto"/>
              <w:bottom w:val="single" w:sz="2" w:space="0" w:color="auto"/>
              <w:right w:val="single" w:sz="2" w:space="0" w:color="auto"/>
            </w:tcBorders>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Chủ động phối hợp với các đơn vị liên quan và phối hợp với các công chức khác triển khai công việc, làm đúng thẩm quyền và trách nhiệm được giao.</w:t>
            </w:r>
          </w:p>
        </w:tc>
      </w:tr>
    </w:tbl>
    <w:p w:rsidR="00F44CB7" w:rsidRPr="00F44CB7" w:rsidRDefault="00F44CB7" w:rsidP="00F44CB7">
      <w:pPr>
        <w:autoSpaceDE w:val="0"/>
        <w:autoSpaceDN w:val="0"/>
        <w:adjustRightInd w:val="0"/>
        <w:spacing w:before="120"/>
        <w:rPr>
          <w:rFonts w:ascii="Times New Roman" w:hAnsi="Times New Roman"/>
          <w:sz w:val="26"/>
          <w:szCs w:val="26"/>
        </w:rPr>
      </w:pPr>
    </w:p>
    <w:p w:rsidR="00F44CB7" w:rsidRPr="00F44CB7" w:rsidRDefault="00F44CB7" w:rsidP="00F44CB7">
      <w:pPr>
        <w:autoSpaceDE w:val="0"/>
        <w:autoSpaceDN w:val="0"/>
        <w:adjustRightInd w:val="0"/>
        <w:spacing w:before="120"/>
        <w:rPr>
          <w:rFonts w:ascii="Times New Roman" w:hAnsi="Times New Roman"/>
          <w:sz w:val="26"/>
          <w:szCs w:val="26"/>
        </w:rPr>
      </w:pPr>
      <w:r w:rsidRPr="00F44CB7">
        <w:rPr>
          <w:rFonts w:ascii="Times New Roman" w:hAnsi="Times New Roman"/>
          <w:i/>
          <w:iCs/>
          <w:sz w:val="26"/>
          <w:szCs w:val="26"/>
          <w:u w:val="single"/>
        </w:rPr>
        <w:t>Ghi chú:</w:t>
      </w:r>
    </w:p>
    <w:p w:rsidR="00F44CB7" w:rsidRPr="00F44CB7" w:rsidRDefault="00F44CB7" w:rsidP="00F44CB7">
      <w:pPr>
        <w:autoSpaceDE w:val="0"/>
        <w:autoSpaceDN w:val="0"/>
        <w:adjustRightInd w:val="0"/>
        <w:spacing w:before="120"/>
        <w:rPr>
          <w:rFonts w:ascii="Times New Roman" w:hAnsi="Times New Roman"/>
          <w:sz w:val="26"/>
          <w:szCs w:val="26"/>
        </w:rPr>
      </w:pPr>
      <w:r w:rsidRPr="00F44CB7">
        <w:rPr>
          <w:rFonts w:ascii="Times New Roman" w:hAnsi="Times New Roman"/>
          <w:i/>
          <w:iCs/>
          <w:sz w:val="26"/>
          <w:szCs w:val="26"/>
        </w:rPr>
        <w:t>- Cấp độ được xác định từ cao xuống thấp, tương ứng từ 5 đến 1.</w:t>
      </w:r>
    </w:p>
    <w:p w:rsidR="00F44CB7" w:rsidRPr="00F44CB7" w:rsidRDefault="00F44CB7" w:rsidP="00F44CB7">
      <w:pPr>
        <w:autoSpaceDE w:val="0"/>
        <w:autoSpaceDN w:val="0"/>
        <w:adjustRightInd w:val="0"/>
        <w:spacing w:before="120"/>
        <w:rPr>
          <w:rFonts w:ascii="Times New Roman" w:hAnsi="Times New Roman"/>
          <w:sz w:val="26"/>
          <w:szCs w:val="26"/>
        </w:rPr>
      </w:pPr>
      <w:r w:rsidRPr="00F44CB7">
        <w:rPr>
          <w:rFonts w:ascii="Times New Roman" w:hAnsi="Times New Roman"/>
          <w:i/>
          <w:iCs/>
          <w:sz w:val="26"/>
          <w:szCs w:val="26"/>
        </w:rPr>
        <w:t>- Đối với các ô để trống, đề nghị các cơ quan, tổ chức bổ sung nội dung theo yêu cầu về ngành, lĩnh vực (nếu có).</w:t>
      </w:r>
    </w:p>
    <w:p w:rsidR="00F44CB7" w:rsidRPr="00F44CB7" w:rsidRDefault="00F44CB7" w:rsidP="00F44CB7">
      <w:pPr>
        <w:autoSpaceDE w:val="0"/>
        <w:autoSpaceDN w:val="0"/>
        <w:adjustRightInd w:val="0"/>
        <w:spacing w:before="120"/>
        <w:jc w:val="center"/>
        <w:rPr>
          <w:rFonts w:ascii="Times New Roman" w:hAnsi="Times New Roman"/>
          <w:sz w:val="26"/>
          <w:szCs w:val="26"/>
        </w:rPr>
      </w:pPr>
    </w:p>
    <w:p w:rsidR="00F44CB7" w:rsidRPr="00F44CB7" w:rsidRDefault="00F44CB7" w:rsidP="00F44CB7">
      <w:pPr>
        <w:autoSpaceDE w:val="0"/>
        <w:autoSpaceDN w:val="0"/>
        <w:adjustRightInd w:val="0"/>
        <w:spacing w:before="120"/>
        <w:jc w:val="center"/>
        <w:rPr>
          <w:rFonts w:ascii="Times New Roman" w:hAnsi="Times New Roman"/>
          <w:sz w:val="26"/>
          <w:szCs w:val="26"/>
        </w:rPr>
      </w:pPr>
      <w:r w:rsidRPr="00F44CB7">
        <w:rPr>
          <w:rFonts w:ascii="Times New Roman" w:hAnsi="Times New Roman"/>
          <w:bCs/>
          <w:sz w:val="26"/>
          <w:szCs w:val="26"/>
        </w:rPr>
        <w:t>NỘI DUNG VÀ CẤP ĐỘ XÁC ĐỊNH CỦA NHÓM NĂNG LỰC QUẢN LÝ ĐỐI VỚI CÔNG CHỨC LÃNH ĐẠO, QUẢN LÝ; CÔNG CHỨC, VIÊN CHỨC TRONG CƠ QUAN, TỔ CHỨC HÀNH CHÍNH, ĐƠN VỊ SỰ NGHIỆP CÔNG LẬP</w:t>
      </w:r>
      <w:r w:rsidRPr="00F44CB7">
        <w:rPr>
          <w:rFonts w:ascii="Times New Roman" w:hAnsi="Times New Roman"/>
          <w:b/>
          <w:bCs/>
          <w:sz w:val="26"/>
          <w:szCs w:val="26"/>
        </w:rPr>
        <w:t xml:space="preserve"> </w:t>
      </w:r>
      <w:r w:rsidRPr="00F44CB7">
        <w:rPr>
          <w:rFonts w:ascii="Times New Roman" w:hAnsi="Times New Roman"/>
          <w:b/>
          <w:bCs/>
          <w:sz w:val="26"/>
          <w:szCs w:val="26"/>
        </w:rPr>
        <w:br/>
      </w:r>
      <w:r w:rsidRPr="00F44CB7">
        <w:rPr>
          <w:rFonts w:ascii="Times New Roman" w:hAnsi="Times New Roman"/>
          <w:bCs/>
          <w:i/>
          <w:iCs/>
          <w:sz w:val="26"/>
          <w:szCs w:val="26"/>
        </w:rPr>
        <w:t>(</w:t>
      </w:r>
      <w:r w:rsidRPr="00F44CB7">
        <w:rPr>
          <w:rFonts w:ascii="Times New Roman" w:hAnsi="Times New Roman"/>
          <w:i/>
          <w:iCs/>
          <w:sz w:val="26"/>
          <w:szCs w:val="26"/>
        </w:rPr>
        <w:t>Ban hành kèm theo Thông tư số 12/2022/TT-BNV ngày 30 tháng 12 năm 2022 của Bộ trưởng Bộ Nội vụ)</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8"/>
        <w:gridCol w:w="1995"/>
        <w:gridCol w:w="1692"/>
        <w:gridCol w:w="1692"/>
        <w:gridCol w:w="1585"/>
        <w:gridCol w:w="1588"/>
      </w:tblGrid>
      <w:tr w:rsidR="00F44CB7" w:rsidRPr="00F44CB7" w:rsidTr="009C4DB1">
        <w:tblPrEx>
          <w:tblCellMar>
            <w:top w:w="0" w:type="dxa"/>
            <w:left w:w="0" w:type="dxa"/>
            <w:bottom w:w="0" w:type="dxa"/>
            <w:right w:w="0" w:type="dxa"/>
          </w:tblCellMar>
        </w:tblPrEx>
        <w:tc>
          <w:tcPr>
            <w:tcW w:w="244" w:type="pct"/>
            <w:vMerge w:val="restart"/>
            <w:shd w:val="clear" w:color="auto" w:fill="auto"/>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 xml:space="preserve"> </w:t>
            </w:r>
            <w:r w:rsidRPr="00F44CB7">
              <w:rPr>
                <w:rFonts w:ascii="Times New Roman" w:hAnsi="Times New Roman"/>
                <w:b/>
                <w:bCs/>
                <w:sz w:val="26"/>
                <w:szCs w:val="26"/>
              </w:rPr>
              <w:t>Cấp</w:t>
            </w:r>
            <w:r w:rsidRPr="00F44CB7">
              <w:rPr>
                <w:rFonts w:ascii="Times New Roman" w:hAnsi="Times New Roman"/>
                <w:sz w:val="26"/>
                <w:szCs w:val="26"/>
              </w:rPr>
              <w:t xml:space="preserve"> </w:t>
            </w:r>
            <w:r w:rsidRPr="00F44CB7">
              <w:rPr>
                <w:rFonts w:ascii="Times New Roman" w:hAnsi="Times New Roman"/>
                <w:b/>
                <w:bCs/>
                <w:sz w:val="26"/>
                <w:szCs w:val="26"/>
              </w:rPr>
              <w:t>độ</w:t>
            </w:r>
          </w:p>
        </w:tc>
        <w:tc>
          <w:tcPr>
            <w:tcW w:w="4756" w:type="pct"/>
            <w:gridSpan w:val="5"/>
            <w:shd w:val="clear" w:color="auto" w:fill="auto"/>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b/>
                <w:bCs/>
                <w:sz w:val="26"/>
                <w:szCs w:val="26"/>
              </w:rPr>
              <w:t>Nhóm năng lực quản lý</w:t>
            </w:r>
          </w:p>
        </w:tc>
      </w:tr>
      <w:tr w:rsidR="00F44CB7" w:rsidRPr="00F44CB7" w:rsidTr="009C4DB1">
        <w:tblPrEx>
          <w:tblCellMar>
            <w:top w:w="0" w:type="dxa"/>
            <w:left w:w="0" w:type="dxa"/>
            <w:bottom w:w="0" w:type="dxa"/>
            <w:right w:w="0" w:type="dxa"/>
          </w:tblCellMar>
        </w:tblPrEx>
        <w:tc>
          <w:tcPr>
            <w:tcW w:w="244" w:type="pct"/>
            <w:vMerge/>
            <w:shd w:val="clear" w:color="auto" w:fill="auto"/>
          </w:tcPr>
          <w:p w:rsidR="00F44CB7" w:rsidRPr="00F44CB7" w:rsidRDefault="00F44CB7" w:rsidP="009C4DB1">
            <w:pPr>
              <w:autoSpaceDE w:val="0"/>
              <w:autoSpaceDN w:val="0"/>
              <w:adjustRightInd w:val="0"/>
              <w:spacing w:before="120"/>
              <w:jc w:val="center"/>
              <w:rPr>
                <w:rFonts w:ascii="Times New Roman" w:hAnsi="Times New Roman"/>
                <w:sz w:val="26"/>
                <w:szCs w:val="26"/>
              </w:rPr>
            </w:pPr>
          </w:p>
        </w:tc>
        <w:tc>
          <w:tcPr>
            <w:tcW w:w="1109" w:type="pct"/>
            <w:shd w:val="clear" w:color="auto" w:fill="auto"/>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 xml:space="preserve"> </w:t>
            </w:r>
            <w:r w:rsidRPr="00F44CB7">
              <w:rPr>
                <w:rFonts w:ascii="Times New Roman" w:hAnsi="Times New Roman"/>
                <w:b/>
                <w:bCs/>
                <w:sz w:val="26"/>
                <w:szCs w:val="26"/>
              </w:rPr>
              <w:t>Tư duy chiến lược</w:t>
            </w:r>
          </w:p>
        </w:tc>
        <w:tc>
          <w:tcPr>
            <w:tcW w:w="941" w:type="pct"/>
            <w:shd w:val="clear" w:color="auto" w:fill="auto"/>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 xml:space="preserve"> </w:t>
            </w:r>
            <w:r w:rsidRPr="00F44CB7">
              <w:rPr>
                <w:rFonts w:ascii="Times New Roman" w:hAnsi="Times New Roman"/>
                <w:b/>
                <w:bCs/>
                <w:sz w:val="26"/>
                <w:szCs w:val="26"/>
              </w:rPr>
              <w:t>Quản lý sự thay đổi</w:t>
            </w:r>
          </w:p>
        </w:tc>
        <w:tc>
          <w:tcPr>
            <w:tcW w:w="941" w:type="pct"/>
            <w:shd w:val="clear" w:color="auto" w:fill="auto"/>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 xml:space="preserve"> </w:t>
            </w:r>
            <w:r w:rsidRPr="00F44CB7">
              <w:rPr>
                <w:rFonts w:ascii="Times New Roman" w:hAnsi="Times New Roman"/>
                <w:b/>
                <w:bCs/>
                <w:sz w:val="26"/>
                <w:szCs w:val="26"/>
              </w:rPr>
              <w:t>Ra quyết định</w:t>
            </w:r>
          </w:p>
        </w:tc>
        <w:tc>
          <w:tcPr>
            <w:tcW w:w="882" w:type="pct"/>
            <w:shd w:val="clear" w:color="auto" w:fill="auto"/>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 xml:space="preserve"> </w:t>
            </w:r>
            <w:r w:rsidRPr="00F44CB7">
              <w:rPr>
                <w:rFonts w:ascii="Times New Roman" w:hAnsi="Times New Roman"/>
                <w:b/>
                <w:bCs/>
                <w:sz w:val="26"/>
                <w:szCs w:val="26"/>
              </w:rPr>
              <w:t>Quản lý nguồn lực</w:t>
            </w:r>
          </w:p>
        </w:tc>
        <w:tc>
          <w:tcPr>
            <w:tcW w:w="882" w:type="pct"/>
            <w:shd w:val="clear" w:color="auto" w:fill="auto"/>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 xml:space="preserve"> </w:t>
            </w:r>
            <w:r w:rsidRPr="00F44CB7">
              <w:rPr>
                <w:rFonts w:ascii="Times New Roman" w:hAnsi="Times New Roman"/>
                <w:b/>
                <w:bCs/>
                <w:sz w:val="26"/>
                <w:szCs w:val="26"/>
              </w:rPr>
              <w:t>Phát triển nhân viên</w:t>
            </w:r>
          </w:p>
        </w:tc>
      </w:tr>
      <w:tr w:rsidR="00F44CB7" w:rsidRPr="00F44CB7" w:rsidTr="009C4DB1">
        <w:tblPrEx>
          <w:tblCellMar>
            <w:top w:w="0" w:type="dxa"/>
            <w:left w:w="0" w:type="dxa"/>
            <w:bottom w:w="0" w:type="dxa"/>
            <w:right w:w="0" w:type="dxa"/>
          </w:tblCellMar>
        </w:tblPrEx>
        <w:tc>
          <w:tcPr>
            <w:tcW w:w="244" w:type="pct"/>
            <w:shd w:val="clear" w:color="auto" w:fill="auto"/>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5</w:t>
            </w:r>
          </w:p>
        </w:tc>
        <w:tc>
          <w:tcPr>
            <w:tcW w:w="1109"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xml:space="preserve">Định hướng xây dựng mục tiêu, chiến lược phát triển dài hạn của cơ quan, đơn vị/ </w:t>
            </w:r>
            <w:r w:rsidRPr="00F44CB7">
              <w:rPr>
                <w:rFonts w:ascii="Times New Roman" w:hAnsi="Times New Roman"/>
                <w:sz w:val="26"/>
                <w:szCs w:val="26"/>
              </w:rPr>
              <w:lastRenderedPageBreak/>
              <w:t>ngành, lĩnh vực/ địa phương.</w:t>
            </w:r>
          </w:p>
        </w:tc>
        <w:tc>
          <w:tcPr>
            <w:tcW w:w="941"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lastRenderedPageBreak/>
              <w:t xml:space="preserve">Chủ động chuẩn bị và tiến hành những thay đổi, cải tổ cơ bản trong cơ </w:t>
            </w:r>
            <w:r w:rsidRPr="00F44CB7">
              <w:rPr>
                <w:rFonts w:ascii="Times New Roman" w:hAnsi="Times New Roman"/>
                <w:sz w:val="26"/>
                <w:szCs w:val="26"/>
              </w:rPr>
              <w:lastRenderedPageBreak/>
              <w:t>quan, đơn vị.</w:t>
            </w:r>
          </w:p>
        </w:tc>
        <w:tc>
          <w:tcPr>
            <w:tcW w:w="941"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lastRenderedPageBreak/>
              <w:t>Ra quyết định có ảnh hưởng lớn đến uy tín, hoạt động của cơ quan, đơn vị.</w:t>
            </w:r>
          </w:p>
        </w:tc>
        <w:tc>
          <w:tcPr>
            <w:tcW w:w="882"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Huy động nguồn lực trong và ngoài cơ quan, đơn vị.</w:t>
            </w:r>
          </w:p>
        </w:tc>
        <w:tc>
          <w:tcPr>
            <w:tcW w:w="882"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 xml:space="preserve">Tạo môi trường phát triển, hoàn thiện kiến thức, kỹ năng, </w:t>
            </w:r>
            <w:r w:rsidRPr="00F44CB7">
              <w:rPr>
                <w:rFonts w:ascii="Times New Roman" w:hAnsi="Times New Roman"/>
                <w:sz w:val="26"/>
                <w:szCs w:val="26"/>
              </w:rPr>
              <w:lastRenderedPageBreak/>
              <w:t>kinh nghiệm.</w:t>
            </w:r>
          </w:p>
        </w:tc>
      </w:tr>
      <w:tr w:rsidR="00F44CB7" w:rsidRPr="00F44CB7" w:rsidTr="009C4DB1">
        <w:tblPrEx>
          <w:tblCellMar>
            <w:top w:w="0" w:type="dxa"/>
            <w:left w:w="0" w:type="dxa"/>
            <w:bottom w:w="0" w:type="dxa"/>
            <w:right w:w="0" w:type="dxa"/>
          </w:tblCellMar>
        </w:tblPrEx>
        <w:tc>
          <w:tcPr>
            <w:tcW w:w="244" w:type="pct"/>
            <w:shd w:val="clear" w:color="auto" w:fill="auto"/>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lastRenderedPageBreak/>
              <w:t>4</w:t>
            </w:r>
          </w:p>
        </w:tc>
        <w:tc>
          <w:tcPr>
            <w:tcW w:w="1109"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Xây dựng định hướng mục tiêu của các lĩnh vực phụ trách, góp phần xây dựng chiến lược tổng thể.</w:t>
            </w:r>
          </w:p>
        </w:tc>
        <w:tc>
          <w:tcPr>
            <w:tcW w:w="941"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Chủ động chuẩn bị và thực hiện tiến trình thay đổi trong các lĩnh vực phụ trách.</w:t>
            </w:r>
          </w:p>
        </w:tc>
        <w:tc>
          <w:tcPr>
            <w:tcW w:w="941"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Ra quyết định phức tạp, không theo chuẩn tắc thuộc quyền hạn, chức năng của lĩnh vực phụ trách.</w:t>
            </w:r>
          </w:p>
        </w:tc>
        <w:tc>
          <w:tcPr>
            <w:tcW w:w="882"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Quản lý, phát huy được nguồn lực của lĩnh vực phụ trách.</w:t>
            </w:r>
          </w:p>
        </w:tc>
        <w:tc>
          <w:tcPr>
            <w:tcW w:w="882"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Tạo cơ hội cho cấp dưới phát triển bản thân.</w:t>
            </w:r>
          </w:p>
        </w:tc>
      </w:tr>
      <w:tr w:rsidR="00F44CB7" w:rsidRPr="00F44CB7" w:rsidTr="009C4DB1">
        <w:tblPrEx>
          <w:tblCellMar>
            <w:top w:w="0" w:type="dxa"/>
            <w:left w:w="0" w:type="dxa"/>
            <w:bottom w:w="0" w:type="dxa"/>
            <w:right w:w="0" w:type="dxa"/>
          </w:tblCellMar>
        </w:tblPrEx>
        <w:tc>
          <w:tcPr>
            <w:tcW w:w="244" w:type="pct"/>
            <w:shd w:val="clear" w:color="auto" w:fill="auto"/>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3</w:t>
            </w:r>
          </w:p>
        </w:tc>
        <w:tc>
          <w:tcPr>
            <w:tcW w:w="1109"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Xây dựng mục tiêu, định hướng dịch vụ đối với mảng lĩnh vực phụ trách.</w:t>
            </w:r>
          </w:p>
        </w:tc>
        <w:tc>
          <w:tcPr>
            <w:tcW w:w="941"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Chủ động chuẩn bị và thực hiện tiến trình thay đổi trong mảng lĩnh vực phụ trách.</w:t>
            </w:r>
          </w:p>
        </w:tc>
        <w:tc>
          <w:tcPr>
            <w:tcW w:w="941"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Ra quyết định khó, phức tạp thuộc quyền hạn, chức năng của phòng/lĩnh vực/nhóm phụ trách.</w:t>
            </w:r>
          </w:p>
        </w:tc>
        <w:tc>
          <w:tcPr>
            <w:tcW w:w="882"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Quản lý, phát huy được nguồn lực của tổ chức cấp phòng.</w:t>
            </w:r>
          </w:p>
        </w:tc>
        <w:tc>
          <w:tcPr>
            <w:tcW w:w="882"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Thúc đẩy học tập liên tục và phát triển.</w:t>
            </w:r>
          </w:p>
        </w:tc>
      </w:tr>
      <w:tr w:rsidR="00F44CB7" w:rsidRPr="00F44CB7" w:rsidTr="009C4DB1">
        <w:tblPrEx>
          <w:tblCellMar>
            <w:top w:w="0" w:type="dxa"/>
            <w:left w:w="0" w:type="dxa"/>
            <w:bottom w:w="0" w:type="dxa"/>
            <w:right w:w="0" w:type="dxa"/>
          </w:tblCellMar>
        </w:tblPrEx>
        <w:tc>
          <w:tcPr>
            <w:tcW w:w="244" w:type="pct"/>
            <w:shd w:val="clear" w:color="auto" w:fill="auto"/>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2</w:t>
            </w:r>
          </w:p>
        </w:tc>
        <w:tc>
          <w:tcPr>
            <w:tcW w:w="1109"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Xây dựng mục tiêu, kế hoạch công việc của nhóm/bộ phận.</w:t>
            </w:r>
          </w:p>
        </w:tc>
        <w:tc>
          <w:tcPr>
            <w:tcW w:w="941"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Chủ động chuẩn bị và thực hiện tiến trình thay đổi của nhóm/bộ phận.</w:t>
            </w:r>
          </w:p>
        </w:tc>
        <w:tc>
          <w:tcPr>
            <w:tcW w:w="941"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Ra quyết định thể hiện được các nguyên tắc, yêu cầu của cơ quan, đơn vị.</w:t>
            </w:r>
          </w:p>
        </w:tc>
        <w:tc>
          <w:tcPr>
            <w:tcW w:w="882"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Quản lý, phát huy được nguồn lực của nhóm/bộ phận.</w:t>
            </w:r>
          </w:p>
        </w:tc>
        <w:tc>
          <w:tcPr>
            <w:tcW w:w="882"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Hỗ trợ việc phát triển, hoàn thiện bản thân.</w:t>
            </w:r>
          </w:p>
        </w:tc>
      </w:tr>
      <w:tr w:rsidR="00F44CB7" w:rsidRPr="00F44CB7" w:rsidTr="009C4DB1">
        <w:tblPrEx>
          <w:tblCellMar>
            <w:top w:w="0" w:type="dxa"/>
            <w:left w:w="0" w:type="dxa"/>
            <w:bottom w:w="0" w:type="dxa"/>
            <w:right w:w="0" w:type="dxa"/>
          </w:tblCellMar>
        </w:tblPrEx>
        <w:tc>
          <w:tcPr>
            <w:tcW w:w="244" w:type="pct"/>
            <w:shd w:val="clear" w:color="auto" w:fill="auto"/>
          </w:tcPr>
          <w:p w:rsidR="00F44CB7" w:rsidRPr="00F44CB7" w:rsidRDefault="00F44CB7" w:rsidP="009C4DB1">
            <w:pPr>
              <w:autoSpaceDE w:val="0"/>
              <w:autoSpaceDN w:val="0"/>
              <w:adjustRightInd w:val="0"/>
              <w:spacing w:before="120"/>
              <w:jc w:val="center"/>
              <w:rPr>
                <w:rFonts w:ascii="Times New Roman" w:hAnsi="Times New Roman"/>
                <w:sz w:val="26"/>
                <w:szCs w:val="26"/>
              </w:rPr>
            </w:pPr>
            <w:r w:rsidRPr="00F44CB7">
              <w:rPr>
                <w:rFonts w:ascii="Times New Roman" w:hAnsi="Times New Roman"/>
                <w:sz w:val="26"/>
                <w:szCs w:val="26"/>
              </w:rPr>
              <w:t>1</w:t>
            </w:r>
          </w:p>
        </w:tc>
        <w:tc>
          <w:tcPr>
            <w:tcW w:w="1109"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Xác định mục tiêu, kế hoạch công việc của bản thân.</w:t>
            </w:r>
          </w:p>
        </w:tc>
        <w:tc>
          <w:tcPr>
            <w:tcW w:w="941"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Chủ động chuẩn bị và thực hiện tiến trình thay đổi trong công việc.</w:t>
            </w:r>
          </w:p>
        </w:tc>
        <w:tc>
          <w:tcPr>
            <w:tcW w:w="941"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Ra quyết định dựa theo nguyên tắc, quy trình có sẵn.</w:t>
            </w:r>
          </w:p>
        </w:tc>
        <w:tc>
          <w:tcPr>
            <w:tcW w:w="882"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Tổ chức thực hiện công việc tiết kiệm, hiệu quả.</w:t>
            </w:r>
          </w:p>
        </w:tc>
        <w:tc>
          <w:tcPr>
            <w:tcW w:w="882" w:type="pct"/>
            <w:shd w:val="clear" w:color="auto" w:fill="auto"/>
          </w:tcPr>
          <w:p w:rsidR="00F44CB7" w:rsidRPr="00F44CB7" w:rsidRDefault="00F44CB7" w:rsidP="009C4DB1">
            <w:pPr>
              <w:autoSpaceDE w:val="0"/>
              <w:autoSpaceDN w:val="0"/>
              <w:adjustRightInd w:val="0"/>
              <w:spacing w:before="120"/>
              <w:rPr>
                <w:rFonts w:ascii="Times New Roman" w:hAnsi="Times New Roman"/>
                <w:sz w:val="26"/>
                <w:szCs w:val="26"/>
              </w:rPr>
            </w:pPr>
            <w:r w:rsidRPr="00F44CB7">
              <w:rPr>
                <w:rFonts w:ascii="Times New Roman" w:hAnsi="Times New Roman"/>
                <w:sz w:val="26"/>
                <w:szCs w:val="26"/>
              </w:rPr>
              <w:t>Chia sẻ kiến thức, chuyên môn với người khác.</w:t>
            </w:r>
          </w:p>
        </w:tc>
      </w:tr>
    </w:tbl>
    <w:p w:rsidR="00F44CB7" w:rsidRPr="00F44CB7" w:rsidRDefault="00F44CB7" w:rsidP="00F44CB7">
      <w:pPr>
        <w:autoSpaceDE w:val="0"/>
        <w:autoSpaceDN w:val="0"/>
        <w:adjustRightInd w:val="0"/>
        <w:spacing w:before="120"/>
        <w:rPr>
          <w:rFonts w:ascii="Times New Roman" w:hAnsi="Times New Roman"/>
          <w:sz w:val="26"/>
          <w:szCs w:val="26"/>
        </w:rPr>
      </w:pPr>
    </w:p>
    <w:p w:rsidR="00F44CB7" w:rsidRPr="00F44CB7" w:rsidRDefault="00F44CB7" w:rsidP="00F44CB7">
      <w:pPr>
        <w:autoSpaceDE w:val="0"/>
        <w:autoSpaceDN w:val="0"/>
        <w:adjustRightInd w:val="0"/>
        <w:spacing w:before="120"/>
        <w:rPr>
          <w:rFonts w:ascii="Times New Roman" w:hAnsi="Times New Roman"/>
          <w:sz w:val="26"/>
          <w:szCs w:val="26"/>
        </w:rPr>
      </w:pPr>
      <w:r w:rsidRPr="00F44CB7">
        <w:rPr>
          <w:rFonts w:ascii="Times New Roman" w:hAnsi="Times New Roman"/>
          <w:i/>
          <w:iCs/>
          <w:sz w:val="26"/>
          <w:szCs w:val="26"/>
          <w:u w:val="single"/>
        </w:rPr>
        <w:t>Ghi chú</w:t>
      </w:r>
      <w:r w:rsidRPr="00F44CB7">
        <w:rPr>
          <w:rFonts w:ascii="Times New Roman" w:hAnsi="Times New Roman"/>
          <w:i/>
          <w:iCs/>
          <w:sz w:val="26"/>
          <w:szCs w:val="26"/>
        </w:rPr>
        <w:t>: Cấp độ được xác định từ cao xuống thấp, tương ứng từ 5 đến 1.</w:t>
      </w:r>
    </w:p>
    <w:p w:rsidR="00F44CB7" w:rsidRPr="00F44CB7" w:rsidRDefault="00F44CB7" w:rsidP="00F44CB7">
      <w:pPr>
        <w:spacing w:before="120"/>
        <w:rPr>
          <w:rFonts w:ascii="Times New Roman" w:hAnsi="Times New Roman"/>
          <w:b/>
          <w:bCs/>
          <w:sz w:val="26"/>
          <w:szCs w:val="26"/>
        </w:rPr>
      </w:pPr>
    </w:p>
    <w:p w:rsidR="00A071F8" w:rsidRPr="00F44CB7" w:rsidRDefault="00A071F8">
      <w:pPr>
        <w:rPr>
          <w:rFonts w:ascii="Times New Roman" w:hAnsi="Times New Roman"/>
          <w:sz w:val="26"/>
          <w:szCs w:val="26"/>
        </w:rPr>
      </w:pPr>
    </w:p>
    <w:p w:rsidR="00F44CB7" w:rsidRPr="00F44CB7" w:rsidRDefault="00F44CB7">
      <w:pPr>
        <w:rPr>
          <w:rFonts w:ascii="Times New Roman" w:hAnsi="Times New Roman"/>
          <w:sz w:val="26"/>
          <w:szCs w:val="26"/>
        </w:rPr>
      </w:pPr>
    </w:p>
    <w:sectPr w:rsidR="00F44CB7" w:rsidRPr="00F44CB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B7"/>
    <w:rsid w:val="00A071F8"/>
    <w:rsid w:val="00F44C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2F781-BEE9-413E-ADE2-5575B5DE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4CB7"/>
    <w:pPr>
      <w:widowControl w:val="0"/>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F44CB7"/>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2024-08-21T01:50:00Z</dcterms:created>
  <dcterms:modified xsi:type="dcterms:W3CDTF">2024-08-21T01:50:00Z</dcterms:modified>
</cp:coreProperties>
</file>