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BDA" w:rsidRPr="00CA2BDA" w:rsidRDefault="00CA2BDA" w:rsidP="00CA2BDA">
      <w:pPr>
        <w:jc w:val="center"/>
        <w:rPr>
          <w:rFonts w:ascii="Times New Roman" w:hAnsi="Times New Roman" w:cs="Times New Roman"/>
          <w:color w:val="auto"/>
          <w:sz w:val="26"/>
          <w:szCs w:val="26"/>
        </w:rPr>
      </w:pPr>
      <w:r w:rsidRPr="00CA2BDA">
        <w:rPr>
          <w:rFonts w:ascii="Times New Roman" w:hAnsi="Times New Roman" w:cs="Times New Roman"/>
          <w:b/>
          <w:bCs/>
          <w:color w:val="auto"/>
          <w:sz w:val="26"/>
          <w:szCs w:val="26"/>
        </w:rPr>
        <w:t>Phụ lục II</w:t>
      </w:r>
    </w:p>
    <w:p w:rsidR="00CA2BDA" w:rsidRPr="00CA2BDA" w:rsidRDefault="00CA2BDA" w:rsidP="00CA2BDA">
      <w:pPr>
        <w:pStyle w:val="Vnbnnidung20"/>
        <w:spacing w:line="240" w:lineRule="auto"/>
        <w:rPr>
          <w:b/>
          <w:bCs/>
          <w:i w:val="0"/>
          <w:iCs w:val="0"/>
          <w:sz w:val="26"/>
          <w:szCs w:val="26"/>
        </w:rPr>
      </w:pPr>
      <w:r w:rsidRPr="00CA2BDA">
        <w:rPr>
          <w:b/>
          <w:bCs/>
          <w:i w:val="0"/>
          <w:iCs w:val="0"/>
          <w:sz w:val="26"/>
          <w:szCs w:val="26"/>
        </w:rPr>
        <w:t>DANH MỤC VỊ TRÍ VIỆC LÀM CÔNG CHỨC NGHIỆP VỤ</w:t>
      </w:r>
    </w:p>
    <w:p w:rsidR="00CA2BDA" w:rsidRPr="00CA2BDA" w:rsidRDefault="00CA2BDA" w:rsidP="00CA2BDA">
      <w:pPr>
        <w:pStyle w:val="Vnbnnidung20"/>
        <w:spacing w:line="240" w:lineRule="auto"/>
        <w:rPr>
          <w:sz w:val="26"/>
          <w:szCs w:val="26"/>
        </w:rPr>
      </w:pPr>
      <w:r w:rsidRPr="00CA2BDA">
        <w:rPr>
          <w:b/>
          <w:bCs/>
          <w:i w:val="0"/>
          <w:iCs w:val="0"/>
          <w:sz w:val="26"/>
          <w:szCs w:val="26"/>
        </w:rPr>
        <w:t xml:space="preserve">CHUYÊN MÔN DÙNG </w:t>
      </w:r>
      <w:r w:rsidRPr="00CA2BDA">
        <w:rPr>
          <w:b/>
          <w:bCs/>
          <w:i w:val="0"/>
          <w:iCs w:val="0"/>
          <w:smallCaps/>
          <w:sz w:val="26"/>
          <w:szCs w:val="26"/>
        </w:rPr>
        <w:t>CHUNG TRONG CƠ QUAN, TỔ CHỨC HÀNH CHÍNH</w:t>
      </w:r>
    </w:p>
    <w:p w:rsidR="00CA2BDA" w:rsidRPr="00CA2BDA" w:rsidRDefault="00CA2BDA" w:rsidP="00CA2BDA">
      <w:pPr>
        <w:pStyle w:val="Vnbnnidung20"/>
        <w:spacing w:line="240" w:lineRule="auto"/>
        <w:rPr>
          <w:sz w:val="26"/>
          <w:szCs w:val="26"/>
        </w:rPr>
      </w:pPr>
      <w:r w:rsidRPr="00CA2BDA">
        <w:rPr>
          <w:sz w:val="26"/>
          <w:szCs w:val="26"/>
        </w:rPr>
        <w:t>(Ban hành kèm theo Thông tư số: 06/2024/TT-BNV</w:t>
      </w:r>
    </w:p>
    <w:p w:rsidR="00CA2BDA" w:rsidRPr="00CA2BDA" w:rsidRDefault="00CA2BDA" w:rsidP="00CA2BDA">
      <w:pPr>
        <w:pStyle w:val="Vnbnnidung20"/>
        <w:spacing w:line="240" w:lineRule="auto"/>
        <w:rPr>
          <w:sz w:val="26"/>
          <w:szCs w:val="26"/>
        </w:rPr>
      </w:pPr>
      <w:r w:rsidRPr="00CA2BDA">
        <w:rPr>
          <w:sz w:val="26"/>
          <w:szCs w:val="26"/>
        </w:rPr>
        <w:t>ngày 28 tháng 6 năm 2024 của Bộ trưởng Bộ Nội vụ)</w:t>
      </w:r>
    </w:p>
    <w:p w:rsidR="00CA2BDA" w:rsidRPr="00CA2BDA" w:rsidRDefault="00CA2BDA" w:rsidP="00CA2BDA">
      <w:pPr>
        <w:pStyle w:val="Vnbnnidung20"/>
        <w:spacing w:line="240" w:lineRule="auto"/>
        <w:rPr>
          <w:i w:val="0"/>
          <w:sz w:val="26"/>
          <w:szCs w:val="26"/>
          <w:vertAlign w:val="superscript"/>
          <w:lang w:val="en-US"/>
        </w:rPr>
      </w:pPr>
      <w:r w:rsidRPr="00CA2BDA">
        <w:rPr>
          <w:i w:val="0"/>
          <w:sz w:val="26"/>
          <w:szCs w:val="26"/>
          <w:vertAlign w:val="superscript"/>
          <w:lang w:val="en-US"/>
        </w:rPr>
        <w:t>______________</w:t>
      </w:r>
    </w:p>
    <w:p w:rsidR="00CA2BDA" w:rsidRPr="00CA2BDA" w:rsidRDefault="00CA2BDA" w:rsidP="00CA2BDA">
      <w:pPr>
        <w:pStyle w:val="Vnbnnidung20"/>
        <w:spacing w:line="240" w:lineRule="auto"/>
        <w:rPr>
          <w:sz w:val="26"/>
          <w:szCs w:val="26"/>
        </w:rPr>
      </w:pPr>
      <w:bookmarkStart w:id="0" w:name="_GoBack"/>
      <w:bookmarkEnd w:id="0"/>
    </w:p>
    <w:tbl>
      <w:tblPr>
        <w:tblOverlap w:val="never"/>
        <w:tblW w:w="5000" w:type="pct"/>
        <w:jc w:val="center"/>
        <w:tblCellMar>
          <w:left w:w="10" w:type="dxa"/>
          <w:right w:w="10" w:type="dxa"/>
        </w:tblCellMar>
        <w:tblLook w:val="04A0" w:firstRow="1" w:lastRow="0" w:firstColumn="1" w:lastColumn="0" w:noHBand="0" w:noVBand="1"/>
      </w:tblPr>
      <w:tblGrid>
        <w:gridCol w:w="512"/>
        <w:gridCol w:w="3141"/>
        <w:gridCol w:w="1498"/>
        <w:gridCol w:w="642"/>
        <w:gridCol w:w="483"/>
        <w:gridCol w:w="700"/>
        <w:gridCol w:w="2040"/>
      </w:tblGrid>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b/>
                <w:bCs/>
                <w:sz w:val="26"/>
                <w:szCs w:val="26"/>
              </w:rPr>
              <w:t>STT</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b/>
                <w:bCs/>
                <w:sz w:val="26"/>
                <w:szCs w:val="26"/>
              </w:rPr>
              <w:t>Tên vị trí việc làm</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b/>
                <w:bCs/>
                <w:sz w:val="26"/>
                <w:szCs w:val="26"/>
              </w:rPr>
              <w:t>Tương ứng ngạch công chức</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b/>
                <w:bCs/>
                <w:sz w:val="26"/>
                <w:szCs w:val="26"/>
              </w:rPr>
              <w:t>Cấp trung ương</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b/>
                <w:bCs/>
                <w:sz w:val="26"/>
                <w:szCs w:val="26"/>
              </w:rPr>
              <w:t>Cấp tỉnh</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b/>
                <w:bCs/>
                <w:sz w:val="26"/>
                <w:szCs w:val="26"/>
              </w:rPr>
              <w:t>Cấp huyện</w:t>
            </w: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b/>
                <w:bCs/>
                <w:sz w:val="26"/>
                <w:szCs w:val="26"/>
              </w:rPr>
              <w:t>Ghi chú</w:t>
            </w: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b/>
                <w:bCs/>
                <w:sz w:val="26"/>
                <w:szCs w:val="26"/>
              </w:rPr>
              <w:t>I</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b/>
                <w:bCs/>
                <w:sz w:val="26"/>
                <w:szCs w:val="26"/>
              </w:rPr>
              <w:t>Lĩnh vực thanh tra</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Được sử dụng chung với các VTVL công chức nghiệp vụ chuyên ngành thuộc ngành, lĩnh vực thanh tra</w:t>
            </w: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b/>
                <w:bCs/>
                <w:sz w:val="26"/>
                <w:szCs w:val="26"/>
              </w:rPr>
              <w:t>II</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b/>
                <w:bCs/>
                <w:sz w:val="26"/>
                <w:szCs w:val="26"/>
              </w:rPr>
              <w:t>Lĩnh vực hợp tác quốc tế</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1</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cao cấp về hợp tác quốc tế</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cao cấp</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2</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chính về hợp tác quốc tế</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chính</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3</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về hợp tác quốc tế</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b/>
                <w:bCs/>
                <w:sz w:val="26"/>
                <w:szCs w:val="26"/>
              </w:rPr>
              <w:t>III</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b/>
                <w:bCs/>
                <w:sz w:val="26"/>
                <w:szCs w:val="26"/>
              </w:rPr>
              <w:t>Lĩnh vực pháp chế</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1</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Pháp chế viên cao cấp</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Pháp chế viên cao cấp</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1193" w:type="pct"/>
            <w:vMerge w:val="restar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Bản mô tả công việc và khung năng lực của các vị trí việc làm về công tác pháp chế thực hiện theo hướng dẫn của Bộ trưởng Bộ Tư pháp</w:t>
            </w: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2</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Pháp chế viên chính</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Pháp chế viên chính</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1193" w:type="pct"/>
            <w:vMerge/>
            <w:tcBorders>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3</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Pháp chế viên</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Pháp chế viên</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1193" w:type="pct"/>
            <w:vMerge/>
            <w:tcBorders>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4</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về pháp chế</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1193" w:type="pct"/>
            <w:vMerge/>
            <w:tcBorders>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5</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cao cấp về phòng ngừa và giải quyết tranh chấp đầu tư quốc tế</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cao cấp</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1193" w:type="pct"/>
            <w:vMerge w:val="restar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Được sử dụng chung với các VTVL công chức nghiệp vụ chuyên ngành thuộc ngành, lĩnh vực tư pháp</w:t>
            </w: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6</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chính về phòng ngừa và giải quyết tranh chấp đầu tư quốc tế</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chính</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1193" w:type="pct"/>
            <w:vMerge/>
            <w:tcBorders>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7</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về phòng ngừa và giải quyết tranh chấp đầu tư quốc tế</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1193" w:type="pct"/>
            <w:vMerge/>
            <w:tcBorders>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b/>
                <w:bCs/>
                <w:sz w:val="26"/>
                <w:szCs w:val="26"/>
              </w:rPr>
              <w:t>IV</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b/>
                <w:bCs/>
                <w:sz w:val="26"/>
                <w:szCs w:val="26"/>
              </w:rPr>
              <w:t xml:space="preserve">Lĩnh vực tổ chức cán bộ (tổ chức bộ máy và quản lý nguồn nhân lực), thi đua </w:t>
            </w:r>
            <w:r w:rsidRPr="00CA2BDA">
              <w:rPr>
                <w:b/>
                <w:bCs/>
                <w:sz w:val="26"/>
                <w:szCs w:val="26"/>
              </w:rPr>
              <w:lastRenderedPageBreak/>
              <w:t>khen thưởng, cải cách hành chính</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 xml:space="preserve">Được sử dụng chung với các VTVL công chức </w:t>
            </w:r>
            <w:r w:rsidRPr="00CA2BDA">
              <w:rPr>
                <w:sz w:val="26"/>
                <w:szCs w:val="26"/>
              </w:rPr>
              <w:lastRenderedPageBreak/>
              <w:t>nghiệp vụ chuyên ngành thuộc ngành, lĩnh vực nội vụ</w:t>
            </w: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b/>
                <w:bCs/>
                <w:sz w:val="26"/>
                <w:szCs w:val="26"/>
              </w:rPr>
              <w:lastRenderedPageBreak/>
              <w:t>V</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b/>
                <w:bCs/>
                <w:sz w:val="26"/>
                <w:szCs w:val="26"/>
              </w:rPr>
              <w:t>Lĩnh vực văn phòng</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1</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chính về tổng hợp</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chính</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2</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về tổng hợp</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3</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chính về hành chính - văn phòng</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chính</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4</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về hành chính - văn phòng</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5</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Cán sự về hành chính - văn phòng</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Cán sự</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6</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chính về truyền thông</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chính</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bottom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7</w:t>
            </w:r>
          </w:p>
        </w:tc>
        <w:tc>
          <w:tcPr>
            <w:tcW w:w="1804" w:type="pct"/>
            <w:tcBorders>
              <w:top w:val="single" w:sz="4" w:space="0" w:color="auto"/>
              <w:left w:val="single" w:sz="4" w:space="0" w:color="auto"/>
              <w:bottom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về truyền thông</w:t>
            </w:r>
          </w:p>
        </w:tc>
        <w:tc>
          <w:tcPr>
            <w:tcW w:w="893" w:type="pct"/>
            <w:tcBorders>
              <w:top w:val="single" w:sz="4" w:space="0" w:color="auto"/>
              <w:left w:val="single" w:sz="4" w:space="0" w:color="auto"/>
              <w:bottom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w:t>
            </w:r>
          </w:p>
        </w:tc>
        <w:tc>
          <w:tcPr>
            <w:tcW w:w="319" w:type="pct"/>
            <w:tcBorders>
              <w:top w:val="single" w:sz="4" w:space="0" w:color="auto"/>
              <w:left w:val="single" w:sz="4" w:space="0" w:color="auto"/>
              <w:bottom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bottom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bottom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1193" w:type="pct"/>
            <w:tcBorders>
              <w:top w:val="single" w:sz="4" w:space="0" w:color="auto"/>
              <w:left w:val="single" w:sz="4" w:space="0" w:color="auto"/>
              <w:bottom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8</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chính về quản trị công sở</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chính</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9</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về quản trị công sở</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10</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Văn thư viên chính</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Văn thư viên chính</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11</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Văn thư viên</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Văn thư viên</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12</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Văn thư viên trung cấp</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Văn thư viên trung cấp</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13</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chính về lưu trữ</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chính</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14</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về lưu trữ</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15</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Cán sự về lưu trữ</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Cán sự</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b/>
                <w:bCs/>
                <w:sz w:val="26"/>
                <w:szCs w:val="26"/>
              </w:rPr>
              <w:t>VI</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b/>
                <w:bCs/>
                <w:sz w:val="26"/>
                <w:szCs w:val="26"/>
              </w:rPr>
              <w:t>Lĩnh vực kế hoạch, tài chính</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1</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cao cấp về kế hoạch đầu tư</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cao cấp</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2</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chính về kế hoạch đầu tư</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chính</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3</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về kế hoạch đầu tư</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4</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cao cấp về thống kê</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cao cấp</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5</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chính về thống kê</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chính</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6</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về thống kê</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7</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cao cấp về tài chính</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cao cấp</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lastRenderedPageBreak/>
              <w:t>8</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chính về tài chính</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chính</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9</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về tài chính</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10</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Kế toán trưởng (hoặc phụ trách Kế toán)</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11</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Kế toán viên chính</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Kế toán viên chính</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12</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Kế toán viên</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Kế toán viên</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13</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Kế toán viên trung cấp</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Kế toán viên trung cấp</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14</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Thủ quỹ</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15</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Cán sự Thủ quỹ</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Cán sự</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16</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Nhân viên Thủ quỹ</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Nhân viên</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b/>
                <w:bCs/>
                <w:sz w:val="26"/>
                <w:szCs w:val="26"/>
              </w:rPr>
              <w:t>VII</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b/>
                <w:bCs/>
                <w:sz w:val="26"/>
                <w:szCs w:val="26"/>
              </w:rPr>
              <w:t>Lĩnh vực công nghệ thông tin (bao gồm công nghiệp công nghệ thông tin, ứng dụng công nghệ thông tin, chuyển đổi số), an toàn thông tin</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1</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chính về công nghệ thông tin</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chính</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bottom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2</w:t>
            </w:r>
          </w:p>
        </w:tc>
        <w:tc>
          <w:tcPr>
            <w:tcW w:w="1804" w:type="pct"/>
            <w:tcBorders>
              <w:top w:val="single" w:sz="4" w:space="0" w:color="auto"/>
              <w:left w:val="single" w:sz="4" w:space="0" w:color="auto"/>
              <w:bottom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về công nghệ thông tin</w:t>
            </w:r>
          </w:p>
        </w:tc>
        <w:tc>
          <w:tcPr>
            <w:tcW w:w="893" w:type="pct"/>
            <w:tcBorders>
              <w:top w:val="single" w:sz="4" w:space="0" w:color="auto"/>
              <w:left w:val="single" w:sz="4" w:space="0" w:color="auto"/>
              <w:bottom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w:t>
            </w:r>
          </w:p>
        </w:tc>
        <w:tc>
          <w:tcPr>
            <w:tcW w:w="319" w:type="pct"/>
            <w:tcBorders>
              <w:top w:val="single" w:sz="4" w:space="0" w:color="auto"/>
              <w:left w:val="single" w:sz="4" w:space="0" w:color="auto"/>
              <w:bottom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bottom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bottom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1193" w:type="pct"/>
            <w:tcBorders>
              <w:top w:val="single" w:sz="4" w:space="0" w:color="auto"/>
              <w:left w:val="single" w:sz="4" w:space="0" w:color="auto"/>
              <w:bottom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3</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Nhân viên về công nghệ thông tin</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Nhân viên</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4</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chính về an toàn thông tin mạng</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chính</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jc w:val="center"/>
              <w:rPr>
                <w:rFonts w:ascii="Times New Roman" w:hAnsi="Times New Roman" w:cs="Times New Roman"/>
                <w:color w:val="auto"/>
                <w:sz w:val="26"/>
                <w:szCs w:val="26"/>
              </w:rPr>
            </w:pP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5</w:t>
            </w:r>
          </w:p>
        </w:tc>
        <w:tc>
          <w:tcPr>
            <w:tcW w:w="1804"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 về an toàn thông tin mạng</w:t>
            </w:r>
          </w:p>
        </w:tc>
        <w:tc>
          <w:tcPr>
            <w:tcW w:w="893" w:type="pct"/>
            <w:tcBorders>
              <w:top w:val="single" w:sz="4" w:space="0" w:color="auto"/>
              <w:left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Chuyên viên</w:t>
            </w:r>
          </w:p>
        </w:tc>
        <w:tc>
          <w:tcPr>
            <w:tcW w:w="319"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1193" w:type="pct"/>
            <w:tcBorders>
              <w:top w:val="single" w:sz="4" w:space="0" w:color="auto"/>
              <w:left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r w:rsidR="00CA2BDA" w:rsidRPr="00CA2BDA" w:rsidTr="009C4DB1">
        <w:trPr>
          <w:trHeight w:val="20"/>
          <w:jc w:val="center"/>
        </w:trPr>
        <w:tc>
          <w:tcPr>
            <w:tcW w:w="223" w:type="pct"/>
            <w:tcBorders>
              <w:top w:val="single" w:sz="4" w:space="0" w:color="auto"/>
              <w:left w:val="single" w:sz="4" w:space="0" w:color="auto"/>
              <w:bottom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6</w:t>
            </w:r>
          </w:p>
        </w:tc>
        <w:tc>
          <w:tcPr>
            <w:tcW w:w="1804" w:type="pct"/>
            <w:tcBorders>
              <w:top w:val="single" w:sz="4" w:space="0" w:color="auto"/>
              <w:left w:val="single" w:sz="4" w:space="0" w:color="auto"/>
              <w:bottom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Cán sự về an toàn thông tin mạng</w:t>
            </w:r>
          </w:p>
        </w:tc>
        <w:tc>
          <w:tcPr>
            <w:tcW w:w="893" w:type="pct"/>
            <w:tcBorders>
              <w:top w:val="single" w:sz="4" w:space="0" w:color="auto"/>
              <w:left w:val="single" w:sz="4" w:space="0" w:color="auto"/>
              <w:bottom w:val="single" w:sz="4" w:space="0" w:color="auto"/>
            </w:tcBorders>
            <w:shd w:val="clear" w:color="auto" w:fill="FFFFFF"/>
            <w:vAlign w:val="center"/>
          </w:tcPr>
          <w:p w:rsidR="00CA2BDA" w:rsidRPr="00CA2BDA" w:rsidRDefault="00CA2BDA" w:rsidP="009C4DB1">
            <w:pPr>
              <w:pStyle w:val="Khc0"/>
              <w:rPr>
                <w:sz w:val="26"/>
                <w:szCs w:val="26"/>
              </w:rPr>
            </w:pPr>
            <w:r w:rsidRPr="00CA2BDA">
              <w:rPr>
                <w:sz w:val="26"/>
                <w:szCs w:val="26"/>
              </w:rPr>
              <w:t>Cán sự</w:t>
            </w:r>
          </w:p>
        </w:tc>
        <w:tc>
          <w:tcPr>
            <w:tcW w:w="319" w:type="pct"/>
            <w:tcBorders>
              <w:top w:val="single" w:sz="4" w:space="0" w:color="auto"/>
              <w:left w:val="single" w:sz="4" w:space="0" w:color="auto"/>
              <w:bottom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230" w:type="pct"/>
            <w:tcBorders>
              <w:top w:val="single" w:sz="4" w:space="0" w:color="auto"/>
              <w:left w:val="single" w:sz="4" w:space="0" w:color="auto"/>
              <w:bottom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338" w:type="pct"/>
            <w:tcBorders>
              <w:top w:val="single" w:sz="4" w:space="0" w:color="auto"/>
              <w:left w:val="single" w:sz="4" w:space="0" w:color="auto"/>
              <w:bottom w:val="single" w:sz="4" w:space="0" w:color="auto"/>
            </w:tcBorders>
            <w:shd w:val="clear" w:color="auto" w:fill="FFFFFF"/>
            <w:vAlign w:val="center"/>
          </w:tcPr>
          <w:p w:rsidR="00CA2BDA" w:rsidRPr="00CA2BDA" w:rsidRDefault="00CA2BDA" w:rsidP="009C4DB1">
            <w:pPr>
              <w:pStyle w:val="Khc0"/>
              <w:jc w:val="center"/>
              <w:rPr>
                <w:sz w:val="26"/>
                <w:szCs w:val="26"/>
              </w:rPr>
            </w:pPr>
            <w:r w:rsidRPr="00CA2BDA">
              <w:rPr>
                <w:sz w:val="26"/>
                <w:szCs w:val="26"/>
              </w:rPr>
              <w:t>x</w:t>
            </w:r>
          </w:p>
        </w:tc>
        <w:tc>
          <w:tcPr>
            <w:tcW w:w="1193" w:type="pct"/>
            <w:tcBorders>
              <w:top w:val="single" w:sz="4" w:space="0" w:color="auto"/>
              <w:left w:val="single" w:sz="4" w:space="0" w:color="auto"/>
              <w:bottom w:val="single" w:sz="4" w:space="0" w:color="auto"/>
              <w:right w:val="single" w:sz="4" w:space="0" w:color="auto"/>
            </w:tcBorders>
            <w:shd w:val="clear" w:color="auto" w:fill="FFFFFF"/>
            <w:vAlign w:val="center"/>
          </w:tcPr>
          <w:p w:rsidR="00CA2BDA" w:rsidRPr="00CA2BDA" w:rsidRDefault="00CA2BDA" w:rsidP="009C4DB1">
            <w:pPr>
              <w:rPr>
                <w:rFonts w:ascii="Times New Roman" w:hAnsi="Times New Roman" w:cs="Times New Roman"/>
                <w:color w:val="auto"/>
                <w:sz w:val="26"/>
                <w:szCs w:val="26"/>
              </w:rPr>
            </w:pPr>
          </w:p>
        </w:tc>
      </w:tr>
    </w:tbl>
    <w:p w:rsidR="00A071F8" w:rsidRPr="00CA2BDA" w:rsidRDefault="00A071F8">
      <w:pPr>
        <w:rPr>
          <w:rFonts w:ascii="Times New Roman" w:hAnsi="Times New Roman" w:cs="Times New Roman"/>
          <w:sz w:val="26"/>
          <w:szCs w:val="26"/>
        </w:rPr>
      </w:pPr>
    </w:p>
    <w:sectPr w:rsidR="00A071F8" w:rsidRPr="00CA2BD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BDA"/>
    <w:rsid w:val="00A071F8"/>
    <w:rsid w:val="00CA2BD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4AB98-C992-412D-B51E-7AFD17C5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A2BDA"/>
    <w:pPr>
      <w:widowControl w:val="0"/>
      <w:spacing w:after="0" w:line="240" w:lineRule="auto"/>
    </w:pPr>
    <w:rPr>
      <w:rFonts w:ascii="Courier New" w:eastAsia="Courier New" w:hAnsi="Courier New" w:cs="Courier New"/>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hc">
    <w:name w:val="Khác_"/>
    <w:basedOn w:val="DefaultParagraphFont"/>
    <w:link w:val="Khc0"/>
    <w:rsid w:val="00CA2BDA"/>
    <w:rPr>
      <w:rFonts w:ascii="Times New Roman" w:eastAsia="Times New Roman" w:hAnsi="Times New Roman" w:cs="Times New Roman"/>
    </w:rPr>
  </w:style>
  <w:style w:type="character" w:customStyle="1" w:styleId="Vnbnnidung2">
    <w:name w:val="Văn bản nội dung (2)_"/>
    <w:basedOn w:val="DefaultParagraphFont"/>
    <w:link w:val="Vnbnnidung20"/>
    <w:rsid w:val="00CA2BDA"/>
    <w:rPr>
      <w:rFonts w:ascii="Times New Roman" w:eastAsia="Times New Roman" w:hAnsi="Times New Roman" w:cs="Times New Roman"/>
      <w:i/>
      <w:iCs/>
      <w:sz w:val="19"/>
      <w:szCs w:val="19"/>
    </w:rPr>
  </w:style>
  <w:style w:type="paragraph" w:customStyle="1" w:styleId="Khc0">
    <w:name w:val="Khác"/>
    <w:basedOn w:val="Normal"/>
    <w:link w:val="Khc"/>
    <w:rsid w:val="00CA2BDA"/>
    <w:rPr>
      <w:rFonts w:ascii="Times New Roman" w:eastAsia="Times New Roman" w:hAnsi="Times New Roman" w:cs="Times New Roman"/>
      <w:color w:val="auto"/>
      <w:sz w:val="22"/>
      <w:szCs w:val="22"/>
      <w:lang w:eastAsia="en-US" w:bidi="ar-SA"/>
    </w:rPr>
  </w:style>
  <w:style w:type="paragraph" w:customStyle="1" w:styleId="Vnbnnidung20">
    <w:name w:val="Văn bản nội dung (2)"/>
    <w:basedOn w:val="Normal"/>
    <w:link w:val="Vnbnnidung2"/>
    <w:rsid w:val="00CA2BDA"/>
    <w:pPr>
      <w:spacing w:line="276" w:lineRule="auto"/>
      <w:jc w:val="center"/>
    </w:pPr>
    <w:rPr>
      <w:rFonts w:ascii="Times New Roman" w:eastAsia="Times New Roman" w:hAnsi="Times New Roman" w:cs="Times New Roman"/>
      <w:i/>
      <w:iCs/>
      <w:color w:val="auto"/>
      <w:sz w:val="19"/>
      <w:szCs w:val="19"/>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2024-08-21T01:17:00Z</dcterms:created>
  <dcterms:modified xsi:type="dcterms:W3CDTF">2024-08-21T01:17:00Z</dcterms:modified>
</cp:coreProperties>
</file>