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1B97" w:rsidRPr="006A1B97" w:rsidRDefault="006A1B97" w:rsidP="006A1B97">
      <w:pPr>
        <w:jc w:val="center"/>
      </w:pPr>
      <w:bookmarkStart w:id="0" w:name="chuong_pl_12"/>
      <w:r w:rsidRPr="006A1B97">
        <w:rPr>
          <w:b/>
          <w:bCs/>
        </w:rPr>
        <w:t>PHỤ LỤC XII</w:t>
      </w:r>
      <w:bookmarkEnd w:id="0"/>
    </w:p>
    <w:p w:rsidR="006A1B97" w:rsidRPr="006A1B97" w:rsidRDefault="006A1B97" w:rsidP="006A1B97">
      <w:pPr>
        <w:jc w:val="center"/>
      </w:pPr>
      <w:bookmarkStart w:id="1" w:name="chuong_pl_12_name"/>
      <w:r w:rsidRPr="006A1B97">
        <w:t>CẤP ĐỘ RỦI RO THIÊN TAI</w:t>
      </w:r>
      <w:bookmarkEnd w:id="1"/>
      <w:r w:rsidRPr="006A1B97">
        <w:rPr>
          <w:b/>
          <w:bCs/>
        </w:rPr>
        <w:br/>
      </w:r>
      <w:r w:rsidRPr="006A1B97">
        <w:rPr>
          <w:i/>
          <w:iCs/>
        </w:rPr>
        <w:t>(Kèm theo Quyết định số 18/2021/QĐ-TTg ngày 22 tháng 4 năm 2021 của Thủ tướng Chính phủ)</w:t>
      </w:r>
    </w:p>
    <w:p w:rsidR="006A1B97" w:rsidRPr="006A1B97" w:rsidRDefault="006A1B97" w:rsidP="006A1B97">
      <w:r w:rsidRPr="006A1B97">
        <w:rPr>
          <w:lang w:val="vi-VN"/>
        </w:rPr>
        <w:t>Bảng 1: Mã màu đặc tr</w:t>
      </w:r>
      <w:r w:rsidRPr="006A1B97">
        <w:t>ưng trên các loại bản đồ rủi ro thiên tai (theo thang mã màu RGB cơ bản)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3749"/>
        <w:gridCol w:w="3291"/>
      </w:tblGrid>
      <w:tr w:rsidR="006A1B97" w:rsidRPr="006A1B97" w:rsidTr="006A1B97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</w:rPr>
              <w:t>Cấp độ rủi ro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Màu sắc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Mã màu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Xanh dương nhạt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(175, 225, 255)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Vàng nhạt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(250, 245, 140)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Da cam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(255, 155,0)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Đỏ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(255, 10, 0)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Tím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(160, </w:t>
            </w:r>
            <w:r w:rsidRPr="006A1B97">
              <w:t>40, 160)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2: cấp độ rủi ro do áp thấp nhiệt đới, bão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6A1B97" w:rsidRPr="006A1B97" w:rsidTr="006A1B97">
        <w:trPr>
          <w:tblCellSpacing w:w="0" w:type="dxa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Cấp ATNĐ, bão</w:t>
            </w:r>
          </w:p>
        </w:tc>
        <w:tc>
          <w:tcPr>
            <w:tcW w:w="7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≥ 16 (siêu bão)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14 - 15 (bão rất mạnh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12 - 13 (bão rất mạnh)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10 - 11 (bão mạnh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6 -9 (ATNĐ, bão)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Khu vực ảnh hưởng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Biển đông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Vùng biển ven bờ, đất liền Đông Bắc Bộ, Đồng bằng Bắc Bộ, Bắc Trung Bộ, Trung Trung Bộ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Đất liền Nam Trung Bộ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Đất liền Nam Bộ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Tây Bác, Việt Bắc, Tây Nguyên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3: cấp độ rủi ro do nước dâng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16"/>
        <w:gridCol w:w="756"/>
        <w:gridCol w:w="876"/>
        <w:gridCol w:w="756"/>
        <w:gridCol w:w="1390"/>
        <w:gridCol w:w="850"/>
        <w:gridCol w:w="950"/>
        <w:gridCol w:w="1003"/>
      </w:tblGrid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lastRenderedPageBreak/>
              <w:t>Độ cao mực nước ven biển (tính từ mực nước biển trung bình) (m)</w:t>
            </w:r>
          </w:p>
        </w:tc>
        <w:tc>
          <w:tcPr>
            <w:tcW w:w="42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&gt; 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5-6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4-5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3-4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2-3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1-2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Khu vực ảnh hưởng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Ven biển các tỉnh Quảng Ninh đến Thanh Hóa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Ven biển các tỉnh Nghệ An đến Hà Tĩnh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Ven biển các tỉnh Quảng Bình đến Thừa Thiên Huế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Ven biển các tỉnh Đà Nẵng đến Bình Định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Ven biển các tỉnh Phú Yên đến Ninh 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Ven biển các tỉnh Bình Thuận đến Bà Rịa - Vũng Tàu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Ven biển các tỉnh Thành phố Hồ Chí Minh đến Cà Mau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Ven biển các tỉnh Cà Mau đến Kiên Giang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4: Cấp độ rủi ro do mưa lớn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913"/>
        <w:gridCol w:w="1097"/>
        <w:gridCol w:w="914"/>
        <w:gridCol w:w="1007"/>
        <w:gridCol w:w="1097"/>
        <w:gridCol w:w="1007"/>
      </w:tblGrid>
      <w:tr w:rsidR="006A1B97" w:rsidRPr="006A1B97" w:rsidTr="006A1B97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Lượng mưa (mm)</w:t>
            </w:r>
          </w:p>
        </w:tc>
        <w:tc>
          <w:tcPr>
            <w:tcW w:w="33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400/24giờ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i/>
                <w:iCs/>
              </w:rPr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200 đến 400/24 giờ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100 đến 200/24 giờ hoặc 50-100/12 giờ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Thời gian kéo dài (ngày)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1 đến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 đến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1 đến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 đến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lastRenderedPageBreak/>
              <w:t>Khu vực ảnh hưởng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Đồng bằng, ven biển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du, vùng núi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5: cấp độ rủi ro do lũ, ngập lụt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467"/>
        <w:gridCol w:w="1467"/>
        <w:gridCol w:w="1467"/>
        <w:gridCol w:w="1467"/>
      </w:tblGrid>
      <w:tr w:rsidR="006A1B97" w:rsidRPr="006A1B97" w:rsidTr="006A1B97">
        <w:trPr>
          <w:tblCellSpacing w:w="0" w:type="dxa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Mực nước lũ</w:t>
            </w:r>
          </w:p>
        </w:tc>
        <w:tc>
          <w:tcPr>
            <w:tcW w:w="58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Trên lũ lịch sử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5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(BĐ3+1 m) đến lũ lịch sử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(BĐ3+0.3 m) đến dưới (BĐ3+1.0 m)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BĐ3 đến dưới (BĐ3+0.3 m)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BĐ2 đến dưới BĐ3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BĐ1 đến dưới BĐ2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Khu vực xảy ra lũ, ngập lụt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Các trạm thủy văn thuộc khu vực 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Các trạm thủy văn thuộc khu vực 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Các trạm thủy văn thuộc khu vực 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97" w:rsidRPr="006A1B97" w:rsidRDefault="006A1B97" w:rsidP="006A1B97">
            <w:r w:rsidRPr="006A1B97">
              <w:t>Các trạm thủy văn thuộc khu vực 4</w:t>
            </w:r>
          </w:p>
        </w:tc>
      </w:tr>
    </w:tbl>
    <w:p w:rsidR="006A1B97" w:rsidRPr="006A1B97" w:rsidRDefault="006A1B97" w:rsidP="006A1B97">
      <w:r w:rsidRPr="006A1B97">
        <w:rPr>
          <w:i/>
          <w:iCs/>
          <w:lang w:val="vi-VN"/>
        </w:rPr>
        <w:t>Ghi chú:</w:t>
      </w:r>
      <w:r w:rsidRPr="006A1B97">
        <w:rPr>
          <w:lang w:val="vi-VN"/>
        </w:rPr>
        <w:t> Danh sách các trạm thủy văn thuộc các khu vực 1, 2, 3 và 4 được quy định tại Phụ lục XIII Quyết định này.</w:t>
      </w:r>
    </w:p>
    <w:p w:rsidR="006A1B97" w:rsidRPr="006A1B97" w:rsidRDefault="006A1B97" w:rsidP="006A1B97">
      <w:r w:rsidRPr="006A1B97">
        <w:rPr>
          <w:lang w:val="vi-VN"/>
        </w:rPr>
        <w:t>Bảng </w:t>
      </w:r>
      <w:r w:rsidRPr="006A1B97">
        <w:t>6: </w:t>
      </w:r>
      <w:r w:rsidRPr="006A1B97">
        <w:rPr>
          <w:lang w:val="vi-VN"/>
        </w:rPr>
        <w:t>Cấp độ rủi ro do lũ quét, sạt lở đất, sụt lún đất do mưa lũ hoặc dòng chảy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0"/>
        <w:gridCol w:w="730"/>
        <w:gridCol w:w="730"/>
        <w:gridCol w:w="502"/>
        <w:gridCol w:w="730"/>
        <w:gridCol w:w="730"/>
        <w:gridCol w:w="761"/>
        <w:gridCol w:w="730"/>
        <w:gridCol w:w="730"/>
        <w:gridCol w:w="761"/>
        <w:gridCol w:w="730"/>
        <w:gridCol w:w="730"/>
      </w:tblGrid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Vùng có nguy Cơ</w:t>
            </w:r>
          </w:p>
        </w:tc>
        <w:tc>
          <w:tcPr>
            <w:tcW w:w="420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Rất cao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Cao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bình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Thấp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Tổng lượng mư</w:t>
            </w:r>
            <w:r w:rsidRPr="006A1B97">
              <w:rPr>
                <w:lang w:val="vi-VN"/>
              </w:rPr>
              <w:lastRenderedPageBreak/>
              <w:t>a 24 giờ (mm)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lastRenderedPageBreak/>
              <w:t>100 - 200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 200 đến 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 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100-200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 200 đến 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 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100 - 200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 200 đến 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 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100 - 200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 200 đến 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 400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Thời gian mưa trước đó (ngày)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1-2 ngày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 ngày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1 - 2 ngày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 ngày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1-2 ngày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 ngày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1 -2 ngày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 ngày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Khu vực xảy ra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 1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 2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 3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 4</w:t>
            </w:r>
          </w:p>
        </w:tc>
      </w:tr>
    </w:tbl>
    <w:p w:rsidR="006A1B97" w:rsidRPr="006A1B97" w:rsidRDefault="006A1B97" w:rsidP="006A1B97">
      <w:r w:rsidRPr="006A1B97">
        <w:rPr>
          <w:b/>
          <w:bCs/>
          <w:i/>
          <w:iCs/>
          <w:lang w:val="vi-VN"/>
        </w:rPr>
        <w:t>Ghi chú:</w:t>
      </w:r>
    </w:p>
    <w:p w:rsidR="006A1B97" w:rsidRPr="006A1B97" w:rsidRDefault="006A1B97" w:rsidP="006A1B97">
      <w:r w:rsidRPr="006A1B97">
        <w:rPr>
          <w:lang w:val="vi-VN"/>
        </w:rPr>
        <w:t>Khu vực 1: Lai Châu, Sơn La, Điện Biên, Hòa Bình, Lào Cai, Yên Bái, Hà Giang.</w:t>
      </w:r>
    </w:p>
    <w:p w:rsidR="006A1B97" w:rsidRPr="006A1B97" w:rsidRDefault="006A1B97" w:rsidP="006A1B97">
      <w:r w:rsidRPr="006A1B97">
        <w:rPr>
          <w:lang w:val="vi-VN"/>
        </w:rPr>
        <w:t>Khu vực 2: Tuyên Quang, Bắc Kạn, Lạng Sơn, Cao Bằng, Thanh Hóa, Nghệ An, Quảng Ngãi.</w:t>
      </w:r>
    </w:p>
    <w:p w:rsidR="006A1B97" w:rsidRPr="006A1B97" w:rsidRDefault="006A1B97" w:rsidP="006A1B97">
      <w:r w:rsidRPr="006A1B97">
        <w:rPr>
          <w:lang w:val="vi-VN"/>
        </w:rPr>
        <w:t>Khu vực 3: Phú Thọ, Thái Nguyên, Quảng Ninh, Hà Tĩnh, Quảng Bình, Quảng Trị, Thừa Thiên Huế, thành phố Đà Nẵng, Quảng Nam, Khánh Hòa, Kon </w:t>
      </w:r>
      <w:r w:rsidRPr="006A1B97">
        <w:t>Tum, </w:t>
      </w:r>
      <w:r w:rsidRPr="006A1B97">
        <w:rPr>
          <w:lang w:val="vi-VN"/>
        </w:rPr>
        <w:t>Gia Lai, Đắk Lắk, Đắk Nông, Lâm Đồng.</w:t>
      </w:r>
    </w:p>
    <w:p w:rsidR="006A1B97" w:rsidRPr="006A1B97" w:rsidRDefault="006A1B97" w:rsidP="006A1B97">
      <w:r w:rsidRPr="006A1B97">
        <w:rPr>
          <w:lang w:val="vi-VN"/>
        </w:rPr>
        <w:t>Khu vực 4: Vĩnh Phúc, Bắc Giang, Hải Phòng, Bình Định, Phú Yên, Khánh Hòa, Ninh Thuận, Bình Thuận.</w:t>
      </w:r>
    </w:p>
    <w:p w:rsidR="006A1B97" w:rsidRPr="006A1B97" w:rsidRDefault="006A1B97" w:rsidP="006A1B97">
      <w:r w:rsidRPr="006A1B97">
        <w:rPr>
          <w:lang w:val="vi-VN"/>
        </w:rPr>
        <w:t>Bảng 7: Cấp độ rủi ro do nắng nóng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23"/>
        <w:gridCol w:w="287"/>
        <w:gridCol w:w="555"/>
        <w:gridCol w:w="680"/>
        <w:gridCol w:w="622"/>
        <w:gridCol w:w="733"/>
        <w:gridCol w:w="680"/>
        <w:gridCol w:w="622"/>
        <w:gridCol w:w="733"/>
        <w:gridCol w:w="680"/>
        <w:gridCol w:w="622"/>
        <w:gridCol w:w="733"/>
        <w:gridCol w:w="680"/>
      </w:tblGrid>
      <w:tr w:rsidR="006A1B97" w:rsidRPr="006A1B97" w:rsidTr="006A1B97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Nhiệt độ cao nhất (°C)</w:t>
            </w:r>
          </w:p>
        </w:tc>
        <w:tc>
          <w:tcPr>
            <w:tcW w:w="4350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41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39 đến 41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lastRenderedPageBreak/>
              <w:t>Trên 37 đến 39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35 đến 37</w:t>
            </w:r>
          </w:p>
        </w:tc>
        <w:tc>
          <w:tcPr>
            <w:tcW w:w="43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Thời gian kéo dài </w:t>
            </w:r>
            <w:r w:rsidRPr="006A1B97">
              <w:rPr>
                <w:lang w:val="vi-VN"/>
              </w:rPr>
              <w:t>(ngày)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3 đến 5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5 </w:t>
            </w:r>
            <w:r w:rsidRPr="006A1B97">
              <w:t>đến </w:t>
            </w:r>
            <w:r w:rsidRPr="006A1B97">
              <w:rPr>
                <w:lang w:val="vi-VN"/>
              </w:rPr>
              <w:t>10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10 đến 25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25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Khu vực ảnh hưởng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 Bộ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 Bộ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Nguyên, Nam Bộ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 Bộ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 Bộ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Nguyên, Nam Bộ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 Bộ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 Bộ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Nguyên, Nam Bộ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 Bộ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 Bộ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Nguyên, Nam Bộ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</w:tr>
    </w:tbl>
    <w:p w:rsidR="006A1B97" w:rsidRPr="006A1B97" w:rsidRDefault="006A1B97" w:rsidP="006A1B97">
      <w:r w:rsidRPr="006A1B97">
        <w:rPr>
          <w:lang w:val="vi-VN"/>
        </w:rPr>
        <w:t>Bảng 8: cấp độ rủi ro do hạn hán hoặc sạt lở đất, sụt lún đất do hạn hán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950"/>
        <w:gridCol w:w="815"/>
        <w:gridCol w:w="1056"/>
        <w:gridCol w:w="610"/>
        <w:gridCol w:w="815"/>
        <w:gridCol w:w="1056"/>
        <w:gridCol w:w="610"/>
        <w:gridCol w:w="815"/>
        <w:gridCol w:w="1056"/>
      </w:tblGrid>
      <w:tr w:rsidR="006A1B97" w:rsidRPr="006A1B97" w:rsidTr="006A1B97">
        <w:trPr>
          <w:trHeight w:val="576"/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Khoảng thời gian lượng mưa tháng thiếu hụt trên 50% trong khu vực (tháng)</w:t>
            </w:r>
          </w:p>
        </w:tc>
        <w:tc>
          <w:tcPr>
            <w:tcW w:w="38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rHeight w:val="576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rHeight w:val="576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3 đến 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rHeight w:val="576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2 đến 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rHeight w:val="576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 xml:space="preserve">Thiếu hụt nguồn nước mặt </w:t>
            </w:r>
            <w:r w:rsidRPr="006A1B97">
              <w:rPr>
                <w:lang w:val="vi-VN"/>
              </w:rPr>
              <w:lastRenderedPageBreak/>
              <w:t>trong khu vực (%)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lastRenderedPageBreak/>
              <w:t>Từ 20 % đến 50%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50% đến 70%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70%</w:t>
            </w:r>
          </w:p>
        </w:tc>
      </w:tr>
      <w:tr w:rsidR="006A1B97" w:rsidRPr="006A1B97" w:rsidTr="006A1B97">
        <w:trPr>
          <w:trHeight w:val="864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 ảnh hưởng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 Bộ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Bộ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Nguyên, Nam Bộ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 Bộ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Bộ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Nguyên, Nam Bộ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 Bộ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Bộ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Nguyên, Nam Bộ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9: Cấp độ rủi ro do xâm nhập mặn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111"/>
        <w:gridCol w:w="1215"/>
        <w:gridCol w:w="703"/>
        <w:gridCol w:w="1248"/>
        <w:gridCol w:w="1341"/>
        <w:gridCol w:w="1043"/>
      </w:tblGrid>
      <w:tr w:rsidR="006A1B97" w:rsidRPr="006A1B97" w:rsidTr="006A1B97">
        <w:trPr>
          <w:tblCellSpacing w:w="0" w:type="dxa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Khoảng cách xâm nhập sâu trong sông</w:t>
            </w:r>
          </w:p>
        </w:tc>
        <w:tc>
          <w:tcPr>
            <w:tcW w:w="3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&gt;90 km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50- 90 km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25 - 50 km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15-25 km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Độ mặn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1‰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4‰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Khu </w:t>
            </w:r>
            <w:r w:rsidRPr="006A1B97">
              <w:rPr>
                <w:b/>
                <w:bCs/>
              </w:rPr>
              <w:t>vực</w:t>
            </w:r>
            <w:r w:rsidRPr="006A1B97">
              <w:rPr>
                <w:b/>
                <w:bCs/>
                <w:lang w:val="vi-VN"/>
              </w:rPr>
              <w:t> ảnh hưởng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 Bộ, Bắc Trung Bộ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Trung Bộ, Nam Trung Bộ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Nam Bộ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 Bộ, Bắc Trung Bộ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Trung Bộ, Nam Trung Bộ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Nam Bộ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10: Cấp độ rủi ro do gió mạnh trên biển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018"/>
        <w:gridCol w:w="2926"/>
      </w:tblGrid>
      <w:tr w:rsidR="006A1B97" w:rsidRPr="006A1B97" w:rsidTr="006A1B97">
        <w:trPr>
          <w:tblCellSpacing w:w="0" w:type="dxa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gió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≥9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7-8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Khu vực ảnh hưởng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 biển ven bờ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 biển ngoài khơi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 </w:t>
      </w:r>
      <w:r w:rsidRPr="006A1B97">
        <w:t>11: </w:t>
      </w:r>
      <w:r w:rsidRPr="006A1B97">
        <w:rPr>
          <w:lang w:val="vi-VN"/>
        </w:rPr>
        <w:t>Cấp độ rủi ro do sương mù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2377"/>
        <w:gridCol w:w="2194"/>
      </w:tblGrid>
      <w:tr w:rsidR="006A1B97" w:rsidRPr="006A1B97" w:rsidTr="006A1B97">
        <w:trPr>
          <w:tblCellSpacing w:w="0" w:type="dxa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Tầm nhìn xa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Sương mù dày đặc, tầm nhìn xa dưới 50 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Sương mù dày đặc, tầm nhìn xa từ 50 m trở lên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Phạm vi ảnh hưởng</w:t>
            </w:r>
            <w:r w:rsidRPr="006A1B97">
              <w:rPr>
                <w:b/>
                <w:bCs/>
              </w:rPr>
              <w:br/>
            </w:r>
            <w:r w:rsidRPr="006A1B97">
              <w:rPr>
                <w:b/>
                <w:bCs/>
                <w:lang w:val="vi-VN"/>
              </w:rPr>
              <w:t>(Vùng hoạt động của các phương tiện giao thông)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biển, trên sông và đường đèo núi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 </w:t>
            </w:r>
            <w:r w:rsidRPr="006A1B97">
              <w:t>đường</w:t>
            </w:r>
            <w:r w:rsidRPr="006A1B97">
              <w:rPr>
                <w:lang w:val="vi-VN"/>
              </w:rPr>
              <w:t> cao tốc và sân bay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12: cấp độ rủi ro do lốc, sét, mưa đá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3566"/>
      </w:tblGrid>
      <w:tr w:rsidR="006A1B97" w:rsidRPr="006A1B97" w:rsidTr="006A1B97">
        <w:trPr>
          <w:tblCellSpacing w:w="0" w:type="dxa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lastRenderedPageBreak/>
              <w:t>Phạm vi và khu vực ảnh hư</w:t>
            </w:r>
            <w:r w:rsidRPr="006A1B97">
              <w:rPr>
                <w:b/>
                <w:bCs/>
              </w:rPr>
              <w:t>ở</w:t>
            </w:r>
            <w:r w:rsidRPr="006A1B97">
              <w:rPr>
                <w:b/>
                <w:bCs/>
                <w:lang w:val="vi-VN"/>
              </w:rPr>
              <w:t>ng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1/2 số huyện, xã trở lên của 1 tỉnh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Dưới 1/2 số huyện, xã trong phạm vi 1 tỉnh hoặc nhiều tỉnh không liền kề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13: Cấp độ rủi ro do rét hại, sương muối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094"/>
        <w:gridCol w:w="1275"/>
        <w:gridCol w:w="1003"/>
        <w:gridCol w:w="1275"/>
        <w:gridCol w:w="950"/>
        <w:gridCol w:w="1729"/>
      </w:tblGrid>
      <w:tr w:rsidR="006A1B97" w:rsidRPr="006A1B97" w:rsidTr="006A1B97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Nhiệt độ trung bình ngày (°C)</w:t>
            </w:r>
          </w:p>
        </w:tc>
        <w:tc>
          <w:tcPr>
            <w:tcW w:w="4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Dưới 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0 đến 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4 đến 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8 đến 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Thời gian kéo dài</w:t>
            </w:r>
            <w:r w:rsidRPr="006A1B97">
              <w:rPr>
                <w:b/>
                <w:bCs/>
              </w:rPr>
              <w:br/>
            </w:r>
            <w:r w:rsidRPr="006A1B97">
              <w:rPr>
                <w:lang w:val="vi-VN"/>
              </w:rPr>
              <w:t>(ngày)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3 -5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5- 10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10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Khu vực ảnh hưởng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 núi, trung du Bắc Bộ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Đồng bằng Bắc Bộ, Bắc và Trung Trung Bộ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 núi, trung du Bắc Bộ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Đồng bằng Bắc Bộ, Bắc và Trung Trung Bộ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 núi, trung du Bắc Bộ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Đồng </w:t>
            </w:r>
            <w:r w:rsidRPr="006A1B97">
              <w:t>bằng </w:t>
            </w:r>
            <w:r w:rsidRPr="006A1B97">
              <w:rPr>
                <w:lang w:val="vi-VN"/>
              </w:rPr>
              <w:t>Bắc Bộ, Bắc và Trung Trung Bộ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 </w:t>
      </w:r>
      <w:r w:rsidRPr="006A1B97">
        <w:t>14: </w:t>
      </w:r>
      <w:r w:rsidRPr="006A1B97">
        <w:rPr>
          <w:lang w:val="vi-VN"/>
        </w:rPr>
        <w:t>Cấp độ rủi ro do cháy </w:t>
      </w:r>
      <w:r w:rsidRPr="006A1B97">
        <w:t>rừng</w:t>
      </w:r>
      <w:r w:rsidRPr="006A1B97">
        <w:rPr>
          <w:lang w:val="vi-VN"/>
        </w:rPr>
        <w:t> do tự nhiên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49"/>
        <w:gridCol w:w="365"/>
        <w:gridCol w:w="374"/>
        <w:gridCol w:w="378"/>
        <w:gridCol w:w="351"/>
        <w:gridCol w:w="387"/>
        <w:gridCol w:w="397"/>
        <w:gridCol w:w="310"/>
        <w:gridCol w:w="419"/>
        <w:gridCol w:w="387"/>
        <w:gridCol w:w="397"/>
        <w:gridCol w:w="378"/>
        <w:gridCol w:w="419"/>
        <w:gridCol w:w="387"/>
        <w:gridCol w:w="397"/>
        <w:gridCol w:w="378"/>
        <w:gridCol w:w="351"/>
        <w:gridCol w:w="387"/>
        <w:gridCol w:w="329"/>
        <w:gridCol w:w="310"/>
        <w:gridCol w:w="419"/>
        <w:gridCol w:w="387"/>
        <w:gridCol w:w="397"/>
      </w:tblGrid>
      <w:tr w:rsidR="006A1B97" w:rsidRPr="006A1B97" w:rsidTr="006A1B97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Vùng ảnh hưởng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 xml:space="preserve">Nhiệt độ cao nhất ngày </w:t>
            </w:r>
            <w:r w:rsidRPr="006A1B97">
              <w:rPr>
                <w:b/>
                <w:bCs/>
                <w:lang w:val="vi-VN"/>
              </w:rPr>
              <w:lastRenderedPageBreak/>
              <w:t>(°C)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lastRenderedPageBreak/>
              <w:t>Độ ẩm không khí trung b</w:t>
            </w:r>
            <w:r w:rsidRPr="006A1B97">
              <w:rPr>
                <w:b/>
                <w:bCs/>
                <w:lang w:val="vi-VN"/>
              </w:rPr>
              <w:lastRenderedPageBreak/>
              <w:t>ình ngày (%)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lastRenderedPageBreak/>
              <w:t>Tốc độ gió cao nhất ngà</w:t>
            </w:r>
            <w:r w:rsidRPr="006A1B97">
              <w:rPr>
                <w:b/>
                <w:bCs/>
                <w:lang w:val="vi-VN"/>
              </w:rPr>
              <w:lastRenderedPageBreak/>
              <w:t>y (km/h)</w:t>
            </w:r>
          </w:p>
        </w:tc>
        <w:tc>
          <w:tcPr>
            <w:tcW w:w="4000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lastRenderedPageBreak/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&gt;40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&lt;40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&lt;1.5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35-40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40-50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1.5-2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30-35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50-60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2-2.5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1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 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&gt;40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&lt;40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&lt;1.5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35-40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40-50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1.5-2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30-35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50-60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2-2.5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</w:t>
            </w:r>
            <w:r w:rsidRPr="006A1B97">
              <w:rPr>
                <w:lang w:val="vi-VN"/>
              </w:rPr>
              <w:lastRenderedPageBreak/>
              <w:t> 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lastRenderedPageBreak/>
              <w:t>&gt;40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&lt;40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&lt;1.5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35-40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40-50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1.5-2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30-35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50-60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2-2.5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Vùng 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&gt;40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&lt;40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&lt;1.5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35-40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40-50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1.5-2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B97" w:rsidRPr="006A1B97" w:rsidRDefault="006A1B97" w:rsidP="006A1B97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30-35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50-60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2-2.5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Thời gian kéo dài (ngày)</w:t>
            </w:r>
          </w:p>
        </w:tc>
        <w:tc>
          <w:tcPr>
            <w:tcW w:w="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Từ 3 đến 5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Từ 5 đến 10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Từ 10 đền 15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Từ 15 đến 20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Trên 20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</w:rPr>
              <w:t>khu</w:t>
            </w:r>
            <w:r w:rsidRPr="006A1B97">
              <w:rPr>
                <w:b/>
                <w:bCs/>
                <w:lang w:val="vi-VN"/>
              </w:rPr>
              <w:t> vực ảnh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 Bộ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Bộ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Nam Bộ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 Bộ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 Bộ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Nam Bộ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 Bộ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 Bộ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Nam Bộ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 Bộ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 Bộ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Nam Bộ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Bắc Bộ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Trung Bộ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Tây Nguyên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Nam Bộ</w:t>
            </w:r>
          </w:p>
        </w:tc>
      </w:tr>
    </w:tbl>
    <w:p w:rsidR="006A1B97" w:rsidRPr="006A1B97" w:rsidRDefault="006A1B97" w:rsidP="006A1B97">
      <w:r w:rsidRPr="006A1B97">
        <w:rPr>
          <w:b/>
          <w:bCs/>
          <w:i/>
          <w:iCs/>
          <w:lang w:val="vi-VN"/>
        </w:rPr>
        <w:t>Ghi chú:</w:t>
      </w:r>
    </w:p>
    <w:p w:rsidR="006A1B97" w:rsidRPr="006A1B97" w:rsidRDefault="006A1B97" w:rsidP="006A1B97">
      <w:r w:rsidRPr="006A1B97">
        <w:rPr>
          <w:lang w:val="vi-VN"/>
        </w:rPr>
        <w:t>Phân vùng trọng điểm cháy rừng do tự nhiên ở Việt Nam:</w:t>
      </w:r>
    </w:p>
    <w:p w:rsidR="006A1B97" w:rsidRPr="006A1B97" w:rsidRDefault="006A1B97" w:rsidP="006A1B97">
      <w:r w:rsidRPr="006A1B97">
        <w:t>- </w:t>
      </w:r>
      <w:r w:rsidRPr="006A1B97">
        <w:rPr>
          <w:lang w:val="vi-VN"/>
        </w:rPr>
        <w:t>Vùng 1 gồm: rừng ngập mặn phèn, rừng ngập nước mặn, ngọt thường xuyên.</w:t>
      </w:r>
    </w:p>
    <w:p w:rsidR="006A1B97" w:rsidRPr="006A1B97" w:rsidRDefault="006A1B97" w:rsidP="006A1B97">
      <w:r w:rsidRPr="006A1B97">
        <w:t>- </w:t>
      </w:r>
      <w:r w:rsidRPr="006A1B97">
        <w:rPr>
          <w:lang w:val="vi-VN"/>
        </w:rPr>
        <w:t>Vùng 2 gồm: rừng tự nhiên mưa ẩm nhiệt đới thường xanh, rừng Phi lao ch</w:t>
      </w:r>
      <w:r w:rsidRPr="006A1B97">
        <w:t>ắ</w:t>
      </w:r>
      <w:r w:rsidRPr="006A1B97">
        <w:rPr>
          <w:lang w:val="vi-VN"/>
        </w:rPr>
        <w:t>n cát ven biển....</w:t>
      </w:r>
    </w:p>
    <w:p w:rsidR="006A1B97" w:rsidRPr="006A1B97" w:rsidRDefault="006A1B97" w:rsidP="006A1B97">
      <w:r w:rsidRPr="006A1B97">
        <w:lastRenderedPageBreak/>
        <w:t>- </w:t>
      </w:r>
      <w:r w:rsidRPr="006A1B97">
        <w:rPr>
          <w:lang w:val="vi-VN"/>
        </w:rPr>
        <w:t>Vùng 3 gồm: rừng tự nhiên kín thường xanh, rừng trồng hỗn giao cây bản địa, rừng trồng thuần loài cây khó cháy như: Rừng Mỡ, Rừng Bồ đề...</w:t>
      </w:r>
    </w:p>
    <w:p w:rsidR="006A1B97" w:rsidRPr="006A1B97" w:rsidRDefault="006A1B97" w:rsidP="006A1B97">
      <w:r w:rsidRPr="006A1B97">
        <w:t>- </w:t>
      </w:r>
      <w:r w:rsidRPr="006A1B97">
        <w:rPr>
          <w:lang w:val="vi-VN"/>
        </w:rPr>
        <w:t>Vùng 4 gồm: rừng khộp, rừng tràm, rừng giang, tre nứa đã thành thục tự nhiên, rừng núi đá, rừng trồng các loài cây dễ cháy như: Thông, Sa mộc, Pơ mu, Keo, Bạch đàn, Quế ...).</w:t>
      </w:r>
    </w:p>
    <w:p w:rsidR="006A1B97" w:rsidRPr="006A1B97" w:rsidRDefault="006A1B97" w:rsidP="006A1B97">
      <w:r w:rsidRPr="006A1B97">
        <w:rPr>
          <w:lang w:val="vi-VN"/>
        </w:rPr>
        <w:t>Bảng 15: cấp độ rủi ro do động đất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646"/>
        <w:gridCol w:w="1738"/>
        <w:gridCol w:w="2194"/>
      </w:tblGrid>
      <w:tr w:rsidR="006A1B97" w:rsidRPr="006A1B97" w:rsidTr="006A1B97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Cường độ chấn động trên bề mặt theo thang MSK-64 (cấp)</w:t>
            </w:r>
          </w:p>
        </w:tc>
        <w:tc>
          <w:tcPr>
            <w:tcW w:w="3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VIII</w:t>
            </w:r>
          </w:p>
        </w:tc>
        <w:tc>
          <w:tcPr>
            <w:tcW w:w="3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VII - VIII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VI - VII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V-VI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Vùng ảnh hưởng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 nông thôn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 đô thị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Khu vực hồ chứa thủy lợi, thủy điện</w:t>
            </w:r>
          </w:p>
        </w:tc>
      </w:tr>
    </w:tbl>
    <w:p w:rsidR="006A1B97" w:rsidRPr="006A1B97" w:rsidRDefault="006A1B97" w:rsidP="006A1B97">
      <w:r w:rsidRPr="006A1B97">
        <w:rPr>
          <w:lang w:val="vi-VN"/>
        </w:rPr>
        <w:t>Bảng 16: Cấp độ rủi ro do sóng thần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586"/>
        <w:gridCol w:w="3972"/>
      </w:tblGrid>
      <w:tr w:rsidR="006A1B97" w:rsidRPr="006A1B97" w:rsidTr="006A1B97">
        <w:trPr>
          <w:tblCellSpacing w:w="0" w:type="dxa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Độ cao sóng II (m)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Cường độ sóng thần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b/>
                <w:bCs/>
                <w:lang w:val="vi-VN"/>
              </w:rPr>
              <w:t>cấp độ rủi ro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Dưới 2.0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VI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1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2 m đến 4.0 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VII - VIII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2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4 m đến 8.0 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IX-X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3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Từ 8 m đến 16 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XI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4</w:t>
            </w:r>
          </w:p>
        </w:tc>
      </w:tr>
      <w:tr w:rsidR="006A1B97" w:rsidRPr="006A1B97" w:rsidTr="006A1B97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Trên 16 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rPr>
                <w:lang w:val="vi-VN"/>
              </w:rPr>
              <w:t>XII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A1B97" w:rsidRPr="006A1B97" w:rsidRDefault="006A1B97" w:rsidP="006A1B97">
            <w:r w:rsidRPr="006A1B97">
              <w:t>5</w:t>
            </w:r>
          </w:p>
        </w:tc>
      </w:tr>
    </w:tbl>
    <w:p w:rsidR="0064165C" w:rsidRPr="006A1B97" w:rsidRDefault="0064165C" w:rsidP="006A1B97"/>
    <w:sectPr w:rsidR="0064165C" w:rsidRPr="006A1B97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5"/>
    <w:rsid w:val="003C35CC"/>
    <w:rsid w:val="0064165C"/>
    <w:rsid w:val="006A1B97"/>
    <w:rsid w:val="006B373A"/>
    <w:rsid w:val="00804912"/>
    <w:rsid w:val="009C6325"/>
    <w:rsid w:val="00F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4986D7-BD77-4565-9675-EAB2BA5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32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A1B9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1B9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2024-09-10T01:22:00Z</dcterms:created>
  <dcterms:modified xsi:type="dcterms:W3CDTF">2024-09-10T03:51:00Z</dcterms:modified>
</cp:coreProperties>
</file>