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3E8B" w:rsidRPr="00AD3E8B" w:rsidRDefault="00AD3E8B" w:rsidP="00AD3E8B">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AD3E8B">
        <w:rPr>
          <w:rFonts w:ascii="Arial" w:eastAsia="Times New Roman" w:hAnsi="Arial" w:cs="Arial"/>
          <w:b/>
          <w:bCs/>
          <w:color w:val="000000"/>
          <w:kern w:val="0"/>
          <w:sz w:val="18"/>
          <w:szCs w:val="18"/>
          <w14:ligatures w14:val="none"/>
        </w:rPr>
        <w:t>Mẫu số 02b-ĐK/TSC-QSDĐ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5590"/>
      </w:tblGrid>
      <w:tr w:rsidR="00AD3E8B" w:rsidRPr="00AD3E8B" w:rsidTr="00AD3E8B">
        <w:trPr>
          <w:tblCellSpacing w:w="0" w:type="dxa"/>
        </w:trPr>
        <w:tc>
          <w:tcPr>
            <w:tcW w:w="1900" w:type="pct"/>
            <w:shd w:val="clear" w:color="auto" w:fill="FFFFFF"/>
            <w:hideMark/>
          </w:tcPr>
          <w:p w:rsidR="00AD3E8B" w:rsidRPr="00AD3E8B" w:rsidRDefault="00AD3E8B" w:rsidP="00AD3E8B">
            <w:pPr>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b/>
                <w:bCs/>
                <w:color w:val="000000"/>
                <w:kern w:val="0"/>
                <w:sz w:val="18"/>
                <w:szCs w:val="18"/>
                <w14:ligatures w14:val="none"/>
              </w:rPr>
              <w:t>Tên đơn vị, doanh nghiệp cấp trên trực tiếp</w:t>
            </w:r>
            <w:r w:rsidRPr="00AD3E8B">
              <w:rPr>
                <w:rFonts w:ascii="Arial" w:eastAsia="Times New Roman" w:hAnsi="Arial" w:cs="Arial"/>
                <w:b/>
                <w:bCs/>
                <w:color w:val="000000"/>
                <w:kern w:val="0"/>
                <w:sz w:val="18"/>
                <w:szCs w:val="18"/>
                <w14:ligatures w14:val="none"/>
              </w:rPr>
              <w:br/>
              <w:t>Đơn vị, doanh nghiệp sử dụng tài sản</w:t>
            </w:r>
            <w:r w:rsidRPr="00AD3E8B">
              <w:rPr>
                <w:rFonts w:ascii="Arial" w:eastAsia="Times New Roman" w:hAnsi="Arial" w:cs="Arial"/>
                <w:b/>
                <w:bCs/>
                <w:color w:val="000000"/>
                <w:kern w:val="0"/>
                <w:sz w:val="18"/>
                <w:szCs w:val="18"/>
                <w14:ligatures w14:val="none"/>
              </w:rPr>
              <w:br/>
              <w:t>Mã đơn vị: ……………………..</w:t>
            </w:r>
          </w:p>
        </w:tc>
        <w:tc>
          <w:tcPr>
            <w:tcW w:w="3050" w:type="pct"/>
            <w:shd w:val="clear" w:color="auto" w:fill="FFFFFF"/>
            <w:hideMark/>
          </w:tcPr>
          <w:p w:rsidR="00AD3E8B" w:rsidRPr="00AD3E8B" w:rsidRDefault="00AD3E8B" w:rsidP="00AD3E8B">
            <w:pPr>
              <w:spacing w:before="120" w:after="120" w:line="234" w:lineRule="atLeast"/>
              <w:ind w:firstLine="0"/>
              <w:jc w:val="center"/>
              <w:rPr>
                <w:rFonts w:ascii="Arial" w:eastAsia="Times New Roman" w:hAnsi="Arial" w:cs="Arial"/>
                <w:color w:val="000000"/>
                <w:kern w:val="0"/>
                <w:sz w:val="18"/>
                <w:szCs w:val="18"/>
                <w14:ligatures w14:val="none"/>
              </w:rPr>
            </w:pPr>
            <w:r w:rsidRPr="00AD3E8B">
              <w:rPr>
                <w:rFonts w:ascii="Arial" w:eastAsia="Times New Roman" w:hAnsi="Arial" w:cs="Arial"/>
                <w:b/>
                <w:bCs/>
                <w:color w:val="000000"/>
                <w:kern w:val="0"/>
                <w:sz w:val="18"/>
                <w:szCs w:val="18"/>
                <w14:ligatures w14:val="none"/>
              </w:rPr>
              <w:t>CỘNG HÒA XÃ HỘI CHỦ NGHĨA VIỆT NAM</w:t>
            </w:r>
            <w:r w:rsidRPr="00AD3E8B">
              <w:rPr>
                <w:rFonts w:ascii="Arial" w:eastAsia="Times New Roman" w:hAnsi="Arial" w:cs="Arial"/>
                <w:b/>
                <w:bCs/>
                <w:color w:val="000000"/>
                <w:kern w:val="0"/>
                <w:sz w:val="18"/>
                <w:szCs w:val="18"/>
                <w14:ligatures w14:val="none"/>
              </w:rPr>
              <w:br/>
              <w:t>Độc lập - Tự do - Hạnh phúc</w:t>
            </w:r>
            <w:r w:rsidRPr="00AD3E8B">
              <w:rPr>
                <w:rFonts w:ascii="Arial" w:eastAsia="Times New Roman" w:hAnsi="Arial" w:cs="Arial"/>
                <w:b/>
                <w:bCs/>
                <w:color w:val="000000"/>
                <w:kern w:val="0"/>
                <w:sz w:val="18"/>
                <w:szCs w:val="18"/>
                <w14:ligatures w14:val="none"/>
              </w:rPr>
              <w:br/>
              <w:t>---------------</w:t>
            </w:r>
          </w:p>
        </w:tc>
      </w:tr>
      <w:tr w:rsidR="00AD3E8B" w:rsidRPr="00AD3E8B" w:rsidTr="00AD3E8B">
        <w:trPr>
          <w:tblCellSpacing w:w="0" w:type="dxa"/>
        </w:trPr>
        <w:tc>
          <w:tcPr>
            <w:tcW w:w="1900" w:type="pct"/>
            <w:shd w:val="clear" w:color="auto" w:fill="FFFFFF"/>
            <w:hideMark/>
          </w:tcPr>
          <w:p w:rsidR="00AD3E8B" w:rsidRPr="00AD3E8B" w:rsidRDefault="00AD3E8B" w:rsidP="00AD3E8B">
            <w:pPr>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Số: /………-……….</w:t>
            </w:r>
          </w:p>
        </w:tc>
        <w:tc>
          <w:tcPr>
            <w:tcW w:w="3050" w:type="pct"/>
            <w:shd w:val="clear" w:color="auto" w:fill="FFFFFF"/>
            <w:hideMark/>
          </w:tcPr>
          <w:p w:rsidR="00AD3E8B" w:rsidRPr="00AD3E8B" w:rsidRDefault="00AD3E8B" w:rsidP="00AD3E8B">
            <w:pPr>
              <w:spacing w:before="120" w:after="120" w:line="234" w:lineRule="atLeast"/>
              <w:ind w:firstLine="0"/>
              <w:jc w:val="right"/>
              <w:rPr>
                <w:rFonts w:ascii="Arial" w:eastAsia="Times New Roman" w:hAnsi="Arial" w:cs="Arial"/>
                <w:color w:val="000000"/>
                <w:kern w:val="0"/>
                <w:sz w:val="18"/>
                <w:szCs w:val="18"/>
                <w14:ligatures w14:val="none"/>
              </w:rPr>
            </w:pPr>
            <w:r w:rsidRPr="00AD3E8B">
              <w:rPr>
                <w:rFonts w:ascii="Arial" w:eastAsia="Times New Roman" w:hAnsi="Arial" w:cs="Arial"/>
                <w:i/>
                <w:iCs/>
                <w:color w:val="000000"/>
                <w:kern w:val="0"/>
                <w:sz w:val="18"/>
                <w:szCs w:val="18"/>
                <w14:ligatures w14:val="none"/>
              </w:rPr>
              <w:t>………., ngày …… tháng …… năm …….</w:t>
            </w:r>
          </w:p>
        </w:tc>
      </w:tr>
    </w:tbl>
    <w:p w:rsidR="00AD3E8B" w:rsidRPr="00AD3E8B" w:rsidRDefault="00AD3E8B" w:rsidP="00AD3E8B">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AD3E8B">
        <w:rPr>
          <w:rFonts w:ascii="Arial" w:eastAsia="Times New Roman" w:hAnsi="Arial" w:cs="Arial"/>
          <w:b/>
          <w:bCs/>
          <w:color w:val="000000"/>
          <w:kern w:val="0"/>
          <w:sz w:val="18"/>
          <w:szCs w:val="18"/>
          <w14:ligatures w14:val="none"/>
        </w:rPr>
        <w:t>VĂN BẢN ĐIỀU CHỈNH GIÁ TRỊ QUYỀN SỬ DỤNG ĐẤT</w:t>
      </w:r>
      <w:r w:rsidRPr="00AD3E8B">
        <w:rPr>
          <w:rFonts w:ascii="Arial" w:eastAsia="Times New Roman" w:hAnsi="Arial" w:cs="Arial"/>
          <w:b/>
          <w:bCs/>
          <w:color w:val="000000"/>
          <w:kern w:val="0"/>
          <w:sz w:val="18"/>
          <w:szCs w:val="18"/>
          <w14:ligatures w14:val="none"/>
        </w:rPr>
        <w:br/>
        <w:t>ĐỂ TÍNH VÀO GIÁ TRỊ TÀI SẢN CỦA ĐƠN VỊ, DOANH NGHIỆP</w:t>
      </w:r>
    </w:p>
    <w:p w:rsidR="00AD3E8B" w:rsidRPr="00AD3E8B" w:rsidRDefault="00AD3E8B" w:rsidP="00AD3E8B">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i/>
          <w:iCs/>
          <w:color w:val="000000"/>
          <w:kern w:val="0"/>
          <w:sz w:val="18"/>
          <w:szCs w:val="18"/>
          <w14:ligatures w14:val="none"/>
        </w:rPr>
        <w:t>Căn cứ Nghị định số </w:t>
      </w:r>
      <w:hyperlink r:id="rId4" w:tgtFrame="_blank" w:tooltip="Nghị định 151/2017/NĐ-CP" w:history="1">
        <w:r w:rsidRPr="00AD3E8B">
          <w:rPr>
            <w:rFonts w:ascii="Arial" w:eastAsia="Times New Roman" w:hAnsi="Arial" w:cs="Arial"/>
            <w:i/>
            <w:iCs/>
            <w:color w:val="0E70C3"/>
            <w:kern w:val="0"/>
            <w:sz w:val="18"/>
            <w:szCs w:val="18"/>
            <w:u w:val="single"/>
            <w14:ligatures w14:val="none"/>
          </w:rPr>
          <w:t>151/2017/NĐ-CP</w:t>
        </w:r>
      </w:hyperlink>
      <w:r w:rsidRPr="00AD3E8B">
        <w:rPr>
          <w:rFonts w:ascii="Arial" w:eastAsia="Times New Roman" w:hAnsi="Arial" w:cs="Arial"/>
          <w:i/>
          <w:iCs/>
          <w:color w:val="000000"/>
          <w:kern w:val="0"/>
          <w:sz w:val="18"/>
          <w:szCs w:val="18"/>
          <w14:ligatures w14:val="none"/>
        </w:rPr>
        <w:t> ngày 26 tháng 12 năm 2017 của Chính phủ quy định chi tiết một số điều của Luật Quản lý, sử dụng tài sản công; Nghị định số </w:t>
      </w:r>
      <w:hyperlink r:id="rId5" w:tgtFrame="_blank" w:tooltip="Nghị định 114/2024/NĐ-CP" w:history="1">
        <w:r w:rsidRPr="00AD3E8B">
          <w:rPr>
            <w:rFonts w:ascii="Arial" w:eastAsia="Times New Roman" w:hAnsi="Arial" w:cs="Arial"/>
            <w:i/>
            <w:iCs/>
            <w:color w:val="0E70C3"/>
            <w:kern w:val="0"/>
            <w:sz w:val="18"/>
            <w:szCs w:val="18"/>
            <w:u w:val="single"/>
            <w14:ligatures w14:val="none"/>
          </w:rPr>
          <w:t>114/2024/NĐ-CP</w:t>
        </w:r>
      </w:hyperlink>
      <w:r w:rsidRPr="00AD3E8B">
        <w:rPr>
          <w:rFonts w:ascii="Arial" w:eastAsia="Times New Roman" w:hAnsi="Arial" w:cs="Arial"/>
          <w:i/>
          <w:iCs/>
          <w:color w:val="000000"/>
          <w:kern w:val="0"/>
          <w:sz w:val="18"/>
          <w:szCs w:val="18"/>
          <w14:ligatures w14:val="none"/>
        </w:rPr>
        <w:t> ngày 15 tháng 9 năm 2024 của Chính phủ sửa đổi, bổ sung một số điều Nghị định số </w:t>
      </w:r>
      <w:hyperlink r:id="rId6" w:tgtFrame="_blank" w:tooltip="Nghị định 151/2017/NĐ-CP" w:history="1">
        <w:r w:rsidRPr="00AD3E8B">
          <w:rPr>
            <w:rFonts w:ascii="Arial" w:eastAsia="Times New Roman" w:hAnsi="Arial" w:cs="Arial"/>
            <w:i/>
            <w:iCs/>
            <w:color w:val="0E70C3"/>
            <w:kern w:val="0"/>
            <w:sz w:val="18"/>
            <w:szCs w:val="18"/>
            <w:u w:val="single"/>
            <w14:ligatures w14:val="none"/>
          </w:rPr>
          <w:t>151/2017/NĐ-CP</w:t>
        </w:r>
      </w:hyperlink>
      <w:r w:rsidRPr="00AD3E8B">
        <w:rPr>
          <w:rFonts w:ascii="Arial" w:eastAsia="Times New Roman" w:hAnsi="Arial" w:cs="Arial"/>
          <w:i/>
          <w:iCs/>
          <w:color w:val="000000"/>
          <w:kern w:val="0"/>
          <w:sz w:val="18"/>
          <w:szCs w:val="18"/>
          <w14:ligatures w14:val="none"/>
        </w:rPr>
        <w: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i/>
          <w:iCs/>
          <w:color w:val="000000"/>
          <w:kern w:val="0"/>
          <w:sz w:val="18"/>
          <w:szCs w:val="18"/>
          <w14:ligatures w14:val="none"/>
        </w:rPr>
        <w:t>Căn cứ Quyết định số ……………… ngày ... tháng ... năm …… của Ủy ban nhân dân tỉnh/thành phố…………………… về việc ban hành Bảng giá đất;</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i/>
          <w:iCs/>
          <w:color w:val="000000"/>
          <w:kern w:val="0"/>
          <w:sz w:val="18"/>
          <w:szCs w:val="18"/>
          <w14:ligatures w14:val="none"/>
        </w:rPr>
        <w:t>Căn cứ Quyết định số ……………… ngày ...tháng ... năm .... của Ủy ban nhân dân tỉnh/thành phố …………………… về việc ban hành hệ số điều chỉnh giá đất;</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i/>
          <w:iCs/>
          <w:color w:val="000000"/>
          <w:kern w:val="0"/>
          <w:sz w:val="18"/>
          <w:szCs w:val="18"/>
          <w14:ligatures w14:val="none"/>
        </w:rPr>
        <w:t>…………</w:t>
      </w:r>
      <w:r w:rsidRPr="00AD3E8B">
        <w:rPr>
          <w:rFonts w:ascii="Arial" w:eastAsia="Times New Roman" w:hAnsi="Arial" w:cs="Arial"/>
          <w:color w:val="000000"/>
          <w:kern w:val="0"/>
          <w:sz w:val="18"/>
          <w:szCs w:val="18"/>
          <w:vertAlign w:val="superscript"/>
          <w14:ligatures w14:val="none"/>
        </w:rPr>
        <w:t>1 </w:t>
      </w:r>
      <w:r w:rsidRPr="00AD3E8B">
        <w:rPr>
          <w:rFonts w:ascii="Arial" w:eastAsia="Times New Roman" w:hAnsi="Arial" w:cs="Arial"/>
          <w:color w:val="000000"/>
          <w:kern w:val="0"/>
          <w:sz w:val="18"/>
          <w:szCs w:val="18"/>
          <w14:ligatures w14:val="none"/>
        </w:rPr>
        <w:t>thực hiện xác định lại giá trị quyền sử dụng đất để điều chỉnh giá trị quyền sử dụng đất tính vào giá trị tài sản của đơn vị, doanh nghiệp như sau:</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1. Địa chỉ cơ sở nhà, đất: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2. Hồ sơ pháp lý về quyền sử dụng đất</w:t>
      </w:r>
      <w:r w:rsidRPr="00AD3E8B">
        <w:rPr>
          <w:rFonts w:ascii="Arial" w:eastAsia="Times New Roman" w:hAnsi="Arial" w:cs="Arial"/>
          <w:color w:val="000000"/>
          <w:kern w:val="0"/>
          <w:sz w:val="18"/>
          <w:szCs w:val="18"/>
          <w:vertAlign w:val="superscript"/>
          <w14:ligatures w14:val="none"/>
        </w:rPr>
        <w:t>2</w:t>
      </w:r>
      <w:r w:rsidRPr="00AD3E8B">
        <w:rPr>
          <w:rFonts w:ascii="Arial" w:eastAsia="Times New Roman" w:hAnsi="Arial" w:cs="Arial"/>
          <w:color w:val="000000"/>
          <w:kern w:val="0"/>
          <w:sz w:val="18"/>
          <w:szCs w:val="18"/>
          <w14:ligatures w14:val="none"/>
        </w:rPr>
        <w: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3. Loại đất: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4. Hình thức sử dụng đất: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5. Diện tích đất: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6. Giá trị quyền sử dụng đất đã xác định (theo Văn bản xác định giá trị quyền sử dụng đất số ……… ngày…./.../….):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7. Giá trị quyền sử dụng đất sau khi điều chỉnh: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8. Lý do điều chỉnh giá trị quyền sử dụng đất</w:t>
      </w:r>
      <w:r w:rsidRPr="00AD3E8B">
        <w:rPr>
          <w:rFonts w:ascii="Arial" w:eastAsia="Times New Roman" w:hAnsi="Arial" w:cs="Arial"/>
          <w:color w:val="000000"/>
          <w:kern w:val="0"/>
          <w:sz w:val="18"/>
          <w:szCs w:val="18"/>
          <w:vertAlign w:val="superscript"/>
          <w14:ligatures w14:val="none"/>
        </w:rPr>
        <w:t>3</w:t>
      </w:r>
      <w:r w:rsidRPr="00AD3E8B">
        <w:rPr>
          <w:rFonts w:ascii="Arial" w:eastAsia="Times New Roman" w:hAnsi="Arial" w:cs="Arial"/>
          <w:color w:val="000000"/>
          <w:kern w:val="0"/>
          <w:sz w:val="18"/>
          <w:szCs w:val="18"/>
          <w14:ligatures w14:val="none"/>
        </w:rPr>
        <w:t>: ……………………………………………….</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Văn bản này được lập thành 02 bản, 01 bàn gửi ………… </w:t>
      </w:r>
      <w:r w:rsidRPr="00AD3E8B">
        <w:rPr>
          <w:rFonts w:ascii="Arial" w:eastAsia="Times New Roman" w:hAnsi="Arial" w:cs="Arial"/>
          <w:color w:val="000000"/>
          <w:kern w:val="0"/>
          <w:sz w:val="18"/>
          <w:szCs w:val="18"/>
          <w:vertAlign w:val="superscript"/>
          <w14:ligatures w14:val="none"/>
        </w:rPr>
        <w:t>4</w:t>
      </w:r>
      <w:r w:rsidRPr="00AD3E8B">
        <w:rPr>
          <w:rFonts w:ascii="Arial" w:eastAsia="Times New Roman" w:hAnsi="Arial" w:cs="Arial"/>
          <w:color w:val="000000"/>
          <w:kern w:val="0"/>
          <w:sz w:val="18"/>
          <w:szCs w:val="18"/>
          <w14:ligatures w14:val="none"/>
        </w:rPr>
        <w:t>, 01 bản lưu tại đơn vị/doanh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AD3E8B" w:rsidRPr="00AD3E8B" w:rsidTr="00AD3E8B">
        <w:trPr>
          <w:tblCellSpacing w:w="0" w:type="dxa"/>
        </w:trPr>
        <w:tc>
          <w:tcPr>
            <w:tcW w:w="1950" w:type="pct"/>
            <w:shd w:val="clear" w:color="auto" w:fill="FFFFFF"/>
            <w:hideMark/>
          </w:tcPr>
          <w:p w:rsidR="00AD3E8B" w:rsidRPr="00AD3E8B" w:rsidRDefault="00AD3E8B" w:rsidP="00AD3E8B">
            <w:pPr>
              <w:spacing w:after="0" w:line="240" w:lineRule="auto"/>
              <w:ind w:firstLine="0"/>
              <w:jc w:val="left"/>
              <w:rPr>
                <w:rFonts w:ascii="Arial" w:eastAsia="Times New Roman" w:hAnsi="Arial" w:cs="Arial"/>
                <w:color w:val="000000"/>
                <w:kern w:val="0"/>
                <w:sz w:val="18"/>
                <w:szCs w:val="18"/>
                <w14:ligatures w14:val="none"/>
              </w:rPr>
            </w:pPr>
          </w:p>
        </w:tc>
        <w:tc>
          <w:tcPr>
            <w:tcW w:w="3000" w:type="pct"/>
            <w:shd w:val="clear" w:color="auto" w:fill="FFFFFF"/>
            <w:hideMark/>
          </w:tcPr>
          <w:p w:rsidR="00AD3E8B" w:rsidRPr="00AD3E8B" w:rsidRDefault="00AD3E8B" w:rsidP="00AD3E8B">
            <w:pPr>
              <w:spacing w:before="120" w:after="240" w:line="234" w:lineRule="atLeast"/>
              <w:ind w:firstLine="0"/>
              <w:jc w:val="center"/>
              <w:rPr>
                <w:rFonts w:ascii="Arial" w:eastAsia="Times New Roman" w:hAnsi="Arial" w:cs="Arial"/>
                <w:color w:val="000000"/>
                <w:kern w:val="0"/>
                <w:sz w:val="18"/>
                <w:szCs w:val="18"/>
                <w14:ligatures w14:val="none"/>
              </w:rPr>
            </w:pPr>
            <w:r w:rsidRPr="00AD3E8B">
              <w:rPr>
                <w:rFonts w:ascii="Arial" w:eastAsia="Times New Roman" w:hAnsi="Arial" w:cs="Arial"/>
                <w:b/>
                <w:bCs/>
                <w:color w:val="000000"/>
                <w:kern w:val="0"/>
                <w:sz w:val="18"/>
                <w:szCs w:val="18"/>
                <w14:ligatures w14:val="none"/>
              </w:rPr>
              <w:t>THỦ TRƯỞNG ĐƠN VỊ, DOANH NGHIỆP</w:t>
            </w:r>
            <w:r w:rsidRPr="00AD3E8B">
              <w:rPr>
                <w:rFonts w:ascii="Arial" w:eastAsia="Times New Roman" w:hAnsi="Arial" w:cs="Arial"/>
                <w:color w:val="000000"/>
                <w:kern w:val="0"/>
                <w:sz w:val="18"/>
                <w:szCs w:val="18"/>
                <w14:ligatures w14:val="none"/>
              </w:rPr>
              <w:br/>
            </w:r>
            <w:r w:rsidRPr="00AD3E8B">
              <w:rPr>
                <w:rFonts w:ascii="Arial" w:eastAsia="Times New Roman" w:hAnsi="Arial" w:cs="Arial"/>
                <w:i/>
                <w:iCs/>
                <w:color w:val="000000"/>
                <w:kern w:val="0"/>
                <w:sz w:val="18"/>
                <w:szCs w:val="18"/>
                <w14:ligatures w14:val="none"/>
              </w:rPr>
              <w:t>(Ký, ghi rõ họ tên và đóng dấu)</w:t>
            </w:r>
          </w:p>
        </w:tc>
      </w:tr>
    </w:tbl>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14:ligatures w14:val="none"/>
        </w:rPr>
        <w:t>___________________</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vertAlign w:val="superscript"/>
          <w14:ligatures w14:val="none"/>
        </w:rPr>
        <w:t>1</w:t>
      </w:r>
      <w:r w:rsidRPr="00AD3E8B">
        <w:rPr>
          <w:rFonts w:ascii="Arial" w:eastAsia="Times New Roman" w:hAnsi="Arial" w:cs="Arial"/>
          <w:color w:val="000000"/>
          <w:kern w:val="0"/>
          <w:sz w:val="18"/>
          <w:szCs w:val="18"/>
          <w14:ligatures w14:val="none"/>
        </w:rPr>
        <w:t> Ghi tên đơn vị, doanh nghiệp thực hiện xác định giá trị quyền sử dụng đất.</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vertAlign w:val="superscript"/>
          <w14:ligatures w14:val="none"/>
        </w:rPr>
        <w:t>2</w:t>
      </w:r>
      <w:r w:rsidRPr="00AD3E8B">
        <w:rPr>
          <w:rFonts w:ascii="Arial" w:eastAsia="Times New Roman" w:hAnsi="Arial" w:cs="Arial"/>
          <w:color w:val="000000"/>
          <w:kern w:val="0"/>
          <w:sz w:val="18"/>
          <w:szCs w:val="18"/>
          <w14:ligatures w14:val="none"/>
        </w:rPr>
        <w:t> Ghi cụ thể các hồ sơ pháp lý về đất như: Quyết định giao đất/cho thuê đất/công nhận quyền sử dụng đất; Hợp đồng thuê đất; các giấy tờ khác liên quan đến quyền sử dụng đất.</w:t>
      </w:r>
    </w:p>
    <w:p w:rsidR="00AD3E8B" w:rsidRPr="00AD3E8B" w:rsidRDefault="00AD3E8B" w:rsidP="00AD3E8B">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vertAlign w:val="superscript"/>
          <w14:ligatures w14:val="none"/>
        </w:rPr>
        <w:t>3 </w:t>
      </w:r>
      <w:r w:rsidRPr="00AD3E8B">
        <w:rPr>
          <w:rFonts w:ascii="Arial" w:eastAsia="Times New Roman" w:hAnsi="Arial" w:cs="Arial"/>
          <w:color w:val="000000"/>
          <w:kern w:val="0"/>
          <w:sz w:val="18"/>
          <w:szCs w:val="18"/>
          <w14:ligatures w14:val="none"/>
        </w:rPr>
        <w:t>Ghi theo các trường hợp điều chỉnh giá trị quyền sử dụng đất quy định tại khoản 1 Điều 103 Nghị định số </w:t>
      </w:r>
      <w:hyperlink r:id="rId7" w:tgtFrame="_blank" w:tooltip="Nghị định 151/2017/NĐ-CP" w:history="1">
        <w:r w:rsidRPr="00AD3E8B">
          <w:rPr>
            <w:rFonts w:ascii="Arial" w:eastAsia="Times New Roman" w:hAnsi="Arial" w:cs="Arial"/>
            <w:color w:val="0E70C3"/>
            <w:kern w:val="0"/>
            <w:sz w:val="18"/>
            <w:szCs w:val="18"/>
            <w:u w:val="single"/>
            <w14:ligatures w14:val="none"/>
          </w:rPr>
          <w:t>151/2017/NĐ-CP</w:t>
        </w:r>
      </w:hyperlink>
      <w:r w:rsidRPr="00AD3E8B">
        <w:rPr>
          <w:rFonts w:ascii="Arial" w:eastAsia="Times New Roman" w:hAnsi="Arial" w:cs="Arial"/>
          <w:color w:val="000000"/>
          <w:kern w:val="0"/>
          <w:sz w:val="18"/>
          <w:szCs w:val="18"/>
          <w14:ligatures w14:val="none"/>
        </w:rPr>
        <w:t> ngày 26 tháng 12 năm 2017 của Chính phủ; khoản 62 Điều 1 Nghị định số </w:t>
      </w:r>
      <w:hyperlink r:id="rId8" w:tgtFrame="_blank" w:tooltip="Nghị định 114/2024/NĐ-CP" w:history="1">
        <w:r w:rsidRPr="00AD3E8B">
          <w:rPr>
            <w:rFonts w:ascii="Arial" w:eastAsia="Times New Roman" w:hAnsi="Arial" w:cs="Arial"/>
            <w:color w:val="0E70C3"/>
            <w:kern w:val="0"/>
            <w:sz w:val="18"/>
            <w:szCs w:val="18"/>
            <w:u w:val="single"/>
            <w14:ligatures w14:val="none"/>
          </w:rPr>
          <w:t>114/2024/NĐ-CP</w:t>
        </w:r>
      </w:hyperlink>
      <w:r w:rsidRPr="00AD3E8B">
        <w:rPr>
          <w:rFonts w:ascii="Arial" w:eastAsia="Times New Roman" w:hAnsi="Arial" w:cs="Arial"/>
          <w:color w:val="000000"/>
          <w:kern w:val="0"/>
          <w:sz w:val="18"/>
          <w:szCs w:val="18"/>
          <w14:ligatures w14:val="none"/>
        </w:rPr>
        <w:t> của Chính phủ.</w:t>
      </w:r>
    </w:p>
    <w:p w:rsidR="00AD3E8B" w:rsidRPr="00AD3E8B" w:rsidRDefault="00AD3E8B" w:rsidP="00AD3E8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D3E8B">
        <w:rPr>
          <w:rFonts w:ascii="Arial" w:eastAsia="Times New Roman" w:hAnsi="Arial" w:cs="Arial"/>
          <w:color w:val="000000"/>
          <w:kern w:val="0"/>
          <w:sz w:val="18"/>
          <w:szCs w:val="18"/>
          <w:vertAlign w:val="superscript"/>
          <w14:ligatures w14:val="none"/>
        </w:rPr>
        <w:t>4 </w:t>
      </w:r>
      <w:r w:rsidRPr="00AD3E8B">
        <w:rPr>
          <w:rFonts w:ascii="Arial" w:eastAsia="Times New Roman" w:hAnsi="Arial" w:cs="Arial"/>
          <w:color w:val="000000"/>
          <w:kern w:val="0"/>
          <w:sz w:val="18"/>
          <w:szCs w:val="18"/>
          <w14:ligatures w14:val="none"/>
        </w:rPr>
        <w:t>Ghi tên cơ quan quản lý cấp trên trực tiếp của đơn vị, doanh nghiệp.</w:t>
      </w:r>
    </w:p>
    <w:p w:rsidR="0088021A" w:rsidRPr="00AD3E8B" w:rsidRDefault="0088021A" w:rsidP="00AD3E8B"/>
    <w:sectPr w:rsidR="0088021A" w:rsidRPr="00AD3E8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557DC"/>
    <w:rsid w:val="003B5E03"/>
    <w:rsid w:val="0043709D"/>
    <w:rsid w:val="005E20B4"/>
    <w:rsid w:val="0069706B"/>
    <w:rsid w:val="006D2BDE"/>
    <w:rsid w:val="0077732B"/>
    <w:rsid w:val="00804912"/>
    <w:rsid w:val="00865A8F"/>
    <w:rsid w:val="0088021A"/>
    <w:rsid w:val="008A0FEB"/>
    <w:rsid w:val="00932CC1"/>
    <w:rsid w:val="009532CB"/>
    <w:rsid w:val="009E005D"/>
    <w:rsid w:val="009E4AAF"/>
    <w:rsid w:val="00A76781"/>
    <w:rsid w:val="00AD3E8B"/>
    <w:rsid w:val="00C76628"/>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238437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152912088">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373583904">
      <w:bodyDiv w:val="1"/>
      <w:marLeft w:val="0"/>
      <w:marRight w:val="0"/>
      <w:marTop w:val="0"/>
      <w:marBottom w:val="0"/>
      <w:divBdr>
        <w:top w:val="none" w:sz="0" w:space="0" w:color="auto"/>
        <w:left w:val="none" w:sz="0" w:space="0" w:color="auto"/>
        <w:bottom w:val="none" w:sz="0" w:space="0" w:color="auto"/>
        <w:right w:val="none" w:sz="0" w:space="0" w:color="auto"/>
      </w:divBdr>
    </w:div>
    <w:div w:id="373626049">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530848247">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1640854">
      <w:bodyDiv w:val="1"/>
      <w:marLeft w:val="0"/>
      <w:marRight w:val="0"/>
      <w:marTop w:val="0"/>
      <w:marBottom w:val="0"/>
      <w:divBdr>
        <w:top w:val="none" w:sz="0" w:space="0" w:color="auto"/>
        <w:left w:val="none" w:sz="0" w:space="0" w:color="auto"/>
        <w:bottom w:val="none" w:sz="0" w:space="0" w:color="auto"/>
        <w:right w:val="none" w:sz="0" w:space="0" w:color="auto"/>
      </w:divBdr>
    </w:div>
    <w:div w:id="699625807">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888150113">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978343643">
      <w:bodyDiv w:val="1"/>
      <w:marLeft w:val="0"/>
      <w:marRight w:val="0"/>
      <w:marTop w:val="0"/>
      <w:marBottom w:val="0"/>
      <w:divBdr>
        <w:top w:val="none" w:sz="0" w:space="0" w:color="auto"/>
        <w:left w:val="none" w:sz="0" w:space="0" w:color="auto"/>
        <w:bottom w:val="none" w:sz="0" w:space="0" w:color="auto"/>
        <w:right w:val="none" w:sz="0" w:space="0" w:color="auto"/>
      </w:divBdr>
    </w:div>
    <w:div w:id="1029647249">
      <w:bodyDiv w:val="1"/>
      <w:marLeft w:val="0"/>
      <w:marRight w:val="0"/>
      <w:marTop w:val="0"/>
      <w:marBottom w:val="0"/>
      <w:divBdr>
        <w:top w:val="none" w:sz="0" w:space="0" w:color="auto"/>
        <w:left w:val="none" w:sz="0" w:space="0" w:color="auto"/>
        <w:bottom w:val="none" w:sz="0" w:space="0" w:color="auto"/>
        <w:right w:val="none" w:sz="0" w:space="0" w:color="auto"/>
      </w:divBdr>
    </w:div>
    <w:div w:id="1067609067">
      <w:bodyDiv w:val="1"/>
      <w:marLeft w:val="0"/>
      <w:marRight w:val="0"/>
      <w:marTop w:val="0"/>
      <w:marBottom w:val="0"/>
      <w:divBdr>
        <w:top w:val="none" w:sz="0" w:space="0" w:color="auto"/>
        <w:left w:val="none" w:sz="0" w:space="0" w:color="auto"/>
        <w:bottom w:val="none" w:sz="0" w:space="0" w:color="auto"/>
        <w:right w:val="none" w:sz="0" w:space="0" w:color="auto"/>
      </w:divBdr>
    </w:div>
    <w:div w:id="1108620742">
      <w:bodyDiv w:val="1"/>
      <w:marLeft w:val="0"/>
      <w:marRight w:val="0"/>
      <w:marTop w:val="0"/>
      <w:marBottom w:val="0"/>
      <w:divBdr>
        <w:top w:val="none" w:sz="0" w:space="0" w:color="auto"/>
        <w:left w:val="none" w:sz="0" w:space="0" w:color="auto"/>
        <w:bottom w:val="none" w:sz="0" w:space="0" w:color="auto"/>
        <w:right w:val="none" w:sz="0" w:space="0" w:color="auto"/>
      </w:divBdr>
    </w:div>
    <w:div w:id="1124811550">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281841961">
      <w:bodyDiv w:val="1"/>
      <w:marLeft w:val="0"/>
      <w:marRight w:val="0"/>
      <w:marTop w:val="0"/>
      <w:marBottom w:val="0"/>
      <w:divBdr>
        <w:top w:val="none" w:sz="0" w:space="0" w:color="auto"/>
        <w:left w:val="none" w:sz="0" w:space="0" w:color="auto"/>
        <w:bottom w:val="none" w:sz="0" w:space="0" w:color="auto"/>
        <w:right w:val="none" w:sz="0" w:space="0" w:color="auto"/>
      </w:divBdr>
    </w:div>
    <w:div w:id="1345978524">
      <w:bodyDiv w:val="1"/>
      <w:marLeft w:val="0"/>
      <w:marRight w:val="0"/>
      <w:marTop w:val="0"/>
      <w:marBottom w:val="0"/>
      <w:divBdr>
        <w:top w:val="none" w:sz="0" w:space="0" w:color="auto"/>
        <w:left w:val="none" w:sz="0" w:space="0" w:color="auto"/>
        <w:bottom w:val="none" w:sz="0" w:space="0" w:color="auto"/>
        <w:right w:val="none" w:sz="0" w:space="0" w:color="auto"/>
      </w:divBdr>
    </w:div>
    <w:div w:id="1406145653">
      <w:bodyDiv w:val="1"/>
      <w:marLeft w:val="0"/>
      <w:marRight w:val="0"/>
      <w:marTop w:val="0"/>
      <w:marBottom w:val="0"/>
      <w:divBdr>
        <w:top w:val="none" w:sz="0" w:space="0" w:color="auto"/>
        <w:left w:val="none" w:sz="0" w:space="0" w:color="auto"/>
        <w:bottom w:val="none" w:sz="0" w:space="0" w:color="auto"/>
        <w:right w:val="none" w:sz="0" w:space="0" w:color="auto"/>
      </w:divBdr>
    </w:div>
    <w:div w:id="1435200190">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13937386">
      <w:bodyDiv w:val="1"/>
      <w:marLeft w:val="0"/>
      <w:marRight w:val="0"/>
      <w:marTop w:val="0"/>
      <w:marBottom w:val="0"/>
      <w:divBdr>
        <w:top w:val="none" w:sz="0" w:space="0" w:color="auto"/>
        <w:left w:val="none" w:sz="0" w:space="0" w:color="auto"/>
        <w:bottom w:val="none" w:sz="0" w:space="0" w:color="auto"/>
        <w:right w:val="none" w:sz="0" w:space="0" w:color="auto"/>
      </w:divBdr>
    </w:div>
    <w:div w:id="1836726816">
      <w:bodyDiv w:val="1"/>
      <w:marLeft w:val="0"/>
      <w:marRight w:val="0"/>
      <w:marTop w:val="0"/>
      <w:marBottom w:val="0"/>
      <w:divBdr>
        <w:top w:val="none" w:sz="0" w:space="0" w:color="auto"/>
        <w:left w:val="none" w:sz="0" w:space="0" w:color="auto"/>
        <w:bottom w:val="none" w:sz="0" w:space="0" w:color="auto"/>
        <w:right w:val="none" w:sz="0" w:space="0" w:color="auto"/>
      </w:divBdr>
    </w:div>
    <w:div w:id="1863782851">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 w:id="1982464949">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14-2024-nd-cp-sua-doi-nghi-dinh-151-2017-nd-cp-huong-dan-luat-quan-ly-su-dung-tai-san-cong-527203.aspx" TargetMode="External"/><Relationship Id="rId3" Type="http://schemas.openxmlformats.org/officeDocument/2006/relationships/webSettings" Target="webSettings.xml"/><Relationship Id="rId7" Type="http://schemas.openxmlformats.org/officeDocument/2006/relationships/hyperlink" Target="https://thuvienphapluat.vn/van-ban/tai-chinh-nha-nuoc/nghi-dinh-151-2017-nd-cp-huong-dan-luat-quan-ly-su-dung-tai-san-cong-35414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chinh-nha-nuoc/nghi-dinh-151-2017-nd-cp-huong-dan-luat-quan-ly-su-dung-tai-san-cong-354145.aspx" TargetMode="External"/><Relationship Id="rId5" Type="http://schemas.openxmlformats.org/officeDocument/2006/relationships/hyperlink" Target="https://thuvienphapluat.vn/van-ban/tai-chinh-nha-nuoc/nghi-dinh-114-2024-nd-cp-sua-doi-nghi-dinh-151-2017-nd-cp-huong-dan-luat-quan-ly-su-dung-tai-san-cong-527203.aspx" TargetMode="External"/><Relationship Id="rId10" Type="http://schemas.openxmlformats.org/officeDocument/2006/relationships/theme" Target="theme/theme1.xml"/><Relationship Id="rId4" Type="http://schemas.openxmlformats.org/officeDocument/2006/relationships/hyperlink" Target="https://thuvienphapluat.vn/van-ban/tai-chinh-nha-nuoc/nghi-dinh-151-2017-nd-cp-huong-dan-luat-quan-ly-su-dung-tai-san-cong-354145.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2024-10-21T01:54:00Z</dcterms:created>
  <dcterms:modified xsi:type="dcterms:W3CDTF">2024-10-21T01:54:00Z</dcterms:modified>
</cp:coreProperties>
</file>