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EF" w:rsidRPr="008344EF" w:rsidRDefault="008344EF" w:rsidP="008344EF">
      <w:pPr>
        <w:shd w:val="clear" w:color="auto" w:fill="FFFFFF"/>
        <w:spacing w:after="0" w:line="234" w:lineRule="atLeast"/>
        <w:jc w:val="center"/>
        <w:rPr>
          <w:rFonts w:ascii="Arial" w:eastAsia="Times New Roman" w:hAnsi="Arial" w:cs="Arial"/>
          <w:color w:val="000000"/>
          <w:sz w:val="18"/>
          <w:szCs w:val="18"/>
        </w:rPr>
      </w:pPr>
      <w:bookmarkStart w:id="0" w:name="chuong_pl_1"/>
      <w:r w:rsidRPr="008344EF">
        <w:rPr>
          <w:rFonts w:ascii="Arial" w:eastAsia="Times New Roman" w:hAnsi="Arial" w:cs="Arial"/>
          <w:b/>
          <w:bCs/>
          <w:color w:val="000000"/>
          <w:sz w:val="18"/>
          <w:szCs w:val="18"/>
        </w:rPr>
        <w:t>PHỤ LỤC I</w:t>
      </w:r>
      <w:bookmarkEnd w:id="0"/>
    </w:p>
    <w:p w:rsidR="008344EF" w:rsidRPr="008344EF" w:rsidRDefault="008344EF" w:rsidP="008344EF">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8344EF">
        <w:rPr>
          <w:rFonts w:ascii="Arial" w:eastAsia="Times New Roman" w:hAnsi="Arial" w:cs="Arial"/>
          <w:color w:val="000000"/>
          <w:sz w:val="20"/>
          <w:szCs w:val="20"/>
        </w:rPr>
        <w:t>DANH MỤC MỘT SỐ BỆNH ĐƯỢC KHÁM BỆNH, CHỮA BỆNH TẠI CƠ SỞ KHÁM BỆNH, CHỮA BỆNH CẤP CHUYÊN SÂU</w:t>
      </w:r>
      <w:bookmarkEnd w:id="1"/>
      <w:r w:rsidRPr="008344EF">
        <w:rPr>
          <w:rFonts w:ascii="Arial" w:eastAsia="Times New Roman" w:hAnsi="Arial" w:cs="Arial"/>
          <w:color w:val="000000"/>
          <w:sz w:val="20"/>
          <w:szCs w:val="20"/>
        </w:rPr>
        <w:br/>
      </w:r>
      <w:r w:rsidRPr="008344EF">
        <w:rPr>
          <w:rFonts w:ascii="Arial" w:eastAsia="Times New Roman" w:hAnsi="Arial" w:cs="Arial"/>
          <w:i/>
          <w:iCs/>
          <w:color w:val="000000"/>
          <w:sz w:val="20"/>
          <w:szCs w:val="20"/>
        </w:rPr>
        <w:t>(Ban hành kèm theo Thông tư số 01/2025/TT-BYT ngày 01 tháng 01 năm 2025 của Bộ trưởng Bộ Y tế)</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0"/>
        <w:gridCol w:w="4434"/>
        <w:gridCol w:w="1321"/>
        <w:gridCol w:w="2925"/>
      </w:tblGrid>
      <w:tr w:rsidR="008344EF" w:rsidRPr="008344EF" w:rsidTr="008344EF">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b/>
                <w:bCs/>
                <w:color w:val="000000"/>
                <w:sz w:val="20"/>
                <w:szCs w:val="20"/>
              </w:rPr>
              <w:t>STT</w:t>
            </w:r>
          </w:p>
        </w:tc>
        <w:tc>
          <w:tcPr>
            <w:tcW w:w="2350" w:type="pct"/>
            <w:tcBorders>
              <w:top w:val="single" w:sz="8" w:space="0" w:color="auto"/>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b/>
                <w:bCs/>
                <w:color w:val="000000"/>
                <w:sz w:val="20"/>
                <w:szCs w:val="20"/>
              </w:rPr>
              <w:t>Tên bệnh, nhóm bệnh và các trường hợp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b/>
                <w:bCs/>
                <w:color w:val="000000"/>
                <w:sz w:val="20"/>
                <w:szCs w:val="20"/>
              </w:rPr>
              <w:t>Mã</w:t>
            </w:r>
            <w:r w:rsidRPr="008344EF">
              <w:rPr>
                <w:rFonts w:ascii="Arial" w:eastAsia="Times New Roman" w:hAnsi="Arial" w:cs="Arial"/>
                <w:color w:val="000000"/>
                <w:sz w:val="20"/>
                <w:szCs w:val="20"/>
              </w:rPr>
              <w:t> </w:t>
            </w:r>
            <w:r w:rsidRPr="008344EF">
              <w:rPr>
                <w:rFonts w:ascii="Arial" w:eastAsia="Times New Roman" w:hAnsi="Arial" w:cs="Arial"/>
                <w:b/>
                <w:bCs/>
                <w:color w:val="000000"/>
                <w:sz w:val="20"/>
                <w:szCs w:val="20"/>
              </w:rPr>
              <w:t>ICD-10</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b/>
                <w:bCs/>
                <w:color w:val="000000"/>
                <w:sz w:val="20"/>
                <w:szCs w:val="20"/>
              </w:rPr>
              <w:t>Tình trạng, điều kiện</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1.</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Viêm màng não do lao (G01*)</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A17.0</w:t>
            </w:r>
            <w:r w:rsidRPr="008344EF">
              <w:rPr>
                <w:rFonts w:ascii="Arial" w:eastAsia="Times New Roman" w:hAnsi="Arial" w:cs="Arial"/>
                <w:noProof/>
                <w:color w:val="000000"/>
                <w:sz w:val="20"/>
                <w:szCs w:val="20"/>
              </w:rPr>
              <w:drawing>
                <wp:inline distT="0" distB="0" distL="0" distR="0">
                  <wp:extent cx="74295" cy="159385"/>
                  <wp:effectExtent l="0" t="0" r="1905" b="0"/>
                  <wp:docPr id="5" name="Picture 5"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 cy="15938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2.</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U lao màng não (G07*)</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A17.1</w:t>
            </w:r>
            <w:r w:rsidRPr="008344EF">
              <w:rPr>
                <w:rFonts w:ascii="Arial" w:eastAsia="Times New Roman" w:hAnsi="Arial" w:cs="Arial"/>
                <w:noProof/>
                <w:color w:val="000000"/>
                <w:sz w:val="20"/>
                <w:szCs w:val="20"/>
              </w:rPr>
              <w:drawing>
                <wp:inline distT="0" distB="0" distL="0" distR="0">
                  <wp:extent cx="74295" cy="159385"/>
                  <wp:effectExtent l="0" t="0" r="1905" b="0"/>
                  <wp:docPr id="4" name="Picture 4"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 cy="15938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3.</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Lao khác của hệ thần kinh</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A17.8</w:t>
            </w:r>
            <w:r w:rsidRPr="008344EF">
              <w:rPr>
                <w:rFonts w:ascii="Arial" w:eastAsia="Times New Roman" w:hAnsi="Arial" w:cs="Arial"/>
                <w:noProof/>
                <w:color w:val="000000"/>
                <w:sz w:val="20"/>
                <w:szCs w:val="20"/>
              </w:rPr>
              <w:drawing>
                <wp:inline distT="0" distB="0" distL="0" distR="0">
                  <wp:extent cx="74295" cy="159385"/>
                  <wp:effectExtent l="0" t="0" r="1905" b="0"/>
                  <wp:docPr id="3" name="Picture 3"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 cy="15938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4.</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Lao hệ thần kinh, không xác định (G99.8*)</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A17.9</w:t>
            </w:r>
            <w:r w:rsidRPr="008344EF">
              <w:rPr>
                <w:rFonts w:ascii="Arial" w:eastAsia="Times New Roman" w:hAnsi="Arial" w:cs="Arial"/>
                <w:noProof/>
                <w:color w:val="000000"/>
                <w:sz w:val="20"/>
                <w:szCs w:val="20"/>
              </w:rPr>
              <w:drawing>
                <wp:inline distT="0" distB="0" distL="0" distR="0">
                  <wp:extent cx="74295" cy="159385"/>
                  <wp:effectExtent l="0" t="0" r="1905" b="0"/>
                  <wp:docPr id="2" name="Picture 2"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 cy="15938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5.</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Nhiễm mycobacteria ở phổi</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A31.0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6.</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Nhiễm histoplasma capsulatum ở phổi cấp tính</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B39.0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7.</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Nhiễm nấm blastomyces ở phổi cấp tính</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B40.0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8.</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Nhiễm nấm paracoccidioides ở phổi</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B41.0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9.</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Nhiễm sporotrichum ở phổi (J99.8*)</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B42.0</w:t>
            </w:r>
            <w:r w:rsidRPr="008344EF">
              <w:rPr>
                <w:rFonts w:ascii="Arial" w:eastAsia="Times New Roman" w:hAnsi="Arial" w:cs="Arial"/>
                <w:noProof/>
                <w:color w:val="000000"/>
                <w:sz w:val="20"/>
                <w:szCs w:val="20"/>
              </w:rPr>
              <w:drawing>
                <wp:inline distT="0" distB="0" distL="0" distR="0">
                  <wp:extent cx="74295" cy="159385"/>
                  <wp:effectExtent l="0" t="0" r="1905" b="0"/>
                  <wp:docPr id="1" name="Picture 1"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 cy="159385"/>
                          </a:xfrm>
                          <a:prstGeom prst="rect">
                            <a:avLst/>
                          </a:prstGeom>
                          <a:noFill/>
                          <a:ln>
                            <a:noFill/>
                          </a:ln>
                        </pic:spPr>
                      </pic:pic>
                    </a:graphicData>
                  </a:graphic>
                </wp:inline>
              </w:drawing>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10.</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Nhiễm aspergillus ở phổi xâm lấn</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B44.0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11.</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Nhiễm cryptococcus ở phổi</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B45.0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12.</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Nhiễm mucor ở phổi</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B46.0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13.</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Nhiễm mucor lan toả</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B46.4</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14.</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U ác tụy</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C25</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15.</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U ác tuyến ức</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C37</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16.</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U ác của tim, trung thất và màng phổi</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C38</w:t>
            </w:r>
          </w:p>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(trừ mã C38.4)</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17.</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U ác của xương và sụn khớp ở vị trí khác và không xác định</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C41</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 xml:space="preserve">Người bệnh được hưởng quyền lợi ngay trong lượt khám bệnh, </w:t>
            </w:r>
            <w:r w:rsidRPr="008344EF">
              <w:rPr>
                <w:rFonts w:ascii="Arial" w:eastAsia="Times New Roman" w:hAnsi="Arial" w:cs="Arial"/>
                <w:color w:val="000000"/>
                <w:sz w:val="20"/>
                <w:szCs w:val="20"/>
              </w:rPr>
              <w:lastRenderedPageBreak/>
              <w:t>chữa bệnh có kết quả chẩn đoán xác định mắc bệnh.</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lastRenderedPageBreak/>
              <w:t>18.</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U ác của mãng não</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C70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19.</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U ác của não</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C71</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20.</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U ác của tủy sống, dây thần kinh sọ và các phần khác của hệ thần kinh trung ương</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C72</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21.</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U ác thứ phát của não và màng não</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C79.3</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22.</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Nhóm u ác tính</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Từ C00 đến C97</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Có đủ 02 điều kiện sau đây:</w:t>
            </w:r>
          </w:p>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 Người dưới 18 tuổi.</w:t>
            </w:r>
          </w:p>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 Không áp dụng đối với trường hợp đã được chẩn đoán xác định nhưng không có chỉ định điều trị đặc hiệu.</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23.</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U ác của hệ lympho, hệ tạo máu và các mô liên quan</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Từ C81 đến C86 và từ C90 đến C96 (trừ mã C83.5)</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Không áp dụng đối với trường hợp đã được chẩn đoán xác định nhưng không có chỉ định điều trị đặc hiệu.</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24.</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Hội chứng loạn sản tủy xương</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D46</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Không áp dụng đối với trường hợp đã được chẩn đoán xác định nhưng không có chỉ định điều trị đặc hiệu.</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25.</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Các thể suy tủy xương khác</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D61 (trừ mã D61.9)</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Không áp dụng đối với trường hợp đã được chẩn đoán xác định nhưng không có chỉ định điều trị đặc hiệu.</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26.</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Bệnh tăng đông máu khác (Hội chứng kháng phospho lipid)</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D68.6</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27.</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Hội chứng thực bào tế bào máu liên quan đến nhiễm trùng</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D76.2</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lastRenderedPageBreak/>
              <w:t>28.</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Bệnh đái tháo đường phụ thuộc insuline (Có đa biến chứng)</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E10.7</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Có biến chứng loét bàn chân độ 2 hoặc có bệnh thận mạn giai đoạn 3 trở lên hoặc có ít nhất 02 trong số các biến chứng: tim mạch, mắt, thần kinh, mạch máu.</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29.</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Bệnh đái tháo đường không phụ thuộc insuline (Có đa biến chứng)</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E11.7</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Có biến chứng loét bàn chân độ 2 hoặc có bệnh thận mạn giai đoạn 3 trở lên.</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30.</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Rối loạn chuyển hóa acid amin thơm</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E70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Người dưới 18 tuổi.</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31.</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Rối loạn chuyển hóa acid amin chuỗi nhánh và rối loạn chuyển hóa acid béo</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E71</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Người dưới 18 tuổi.</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32.</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Các rối loạn khác của chuyển hóa acid amin</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E72</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Người dưới 18 tuổi.</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33.</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Nhóm rối loạn dự trữ thể tiêu bào (Bệnh Pompe, bệnh MPS, Bệnh Gaucher, Bệnh Fabry)</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E74, E75, E76, (Áp mã theo ICD-10 của WHO cập nhật năm 2021)</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34.</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Rối loạn chuyển hóa đồng (bao gồm cả bệnh Wilson)</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E83.0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Bệnh Wilson có biến chứng (có một trong các biến chứng của xơ gan, suy gan cấp, tối cấp, suy thận cấp, rối loạn vận động, rối loạn vận ngôn, rối loạn tâm thần, sa sút trí tuệ, động kinh bệnh cơ tim, rối loạn nhịp tim).</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35.</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Thoái hóa dạng bột</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E85</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Không áp dụng đối với trường hợp đã được chẩn đoán xác định nhưng không có chỉ định điều trị đặc hiệu.</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36.</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Rối loạn trầm cảm tái diễn</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F33</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 Kháng thuốc.</w:t>
            </w:r>
          </w:p>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 Người bệnh được hưởng quyền lợi ngay trong lượt khám bệnh, chữa bệnh có kết quả chẩn đoán xác định mắc bệnh.</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37.</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Rối loạn ám ảnh nghi thức</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F42</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38.</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Viêm não, viêm tủy và viêm não-tủy</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G04 (trừ mã G04.2)</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39.</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Xơ cứng rải rác</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G35</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40.</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Viêm tủy thị thần kinh [Devic]</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G36.0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lastRenderedPageBreak/>
              <w:t>41.</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Nhược cơ</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G70.0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 Trường hợp phải lọc máu, suy hô hấp.</w:t>
            </w:r>
          </w:p>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 Người bệnh được hưởng quyền lợi ngay trong lượt khám bệnh, chữa bệnh có kết quả chẩn đoán xác định mắc bệnh.</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42.</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Bệnh lý võng mạc của trẻ đẻ non</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H35.1</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43.</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Suy tim</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I50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Đã có kết luận chẩn đoán giai đoạn 3, giai đoạn 4.</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44.</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Hoại tử thượng bì nhiễm độc (Lyell/Steven Johnson)</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I51.2</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45.</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Hội chứng sau mổ tim</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I97.0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46.</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Rối loạn chức năng khác sau phẫu thuật tim</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I97.1</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47.</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Bệnh phổi mô kẽ khác</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J84</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48.</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Áp xe phổi và trung thất</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J85</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Tình trạng tiến triển nặng theo hướng dẫn chẩn đoán, điều trị.</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49.</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Mủ lồng ngực (nhiễm trùng nặng ở phổi)</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J86</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Tình trạng tiến triển nặng theo hướng dẫn chẩn đoán, điều trị.</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50.</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Bệnh Crohn (viêm ruột từng vùng)</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K50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Mức độ nặng theo thang điểm CDAI từ 450 điểm trở lên, hoặc có biến chứng như rò, thủng, áp xe trong ổ bụng, suy dinh dưỡng nặng.</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51.</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Pemphigus</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L10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Một trong các điều kiện sau đây:</w:t>
            </w:r>
          </w:p>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 Tổn thương da &gt;10% diện tích cơ thể.</w:t>
            </w:r>
          </w:p>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 Tình trạng tiến triển bệnh nặng theo hướng dẫn chẩn đoán và điều trị.</w:t>
            </w:r>
          </w:p>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 Á u.</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52.</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Viêm mạch mạng lưới</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L95.0</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53.</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Bệnh da tăng bạch cầu trung tính có sốt [Hội chứng Sweet]</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L98.2</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lastRenderedPageBreak/>
              <w:t>54.</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Bệnh Lupus ban đỏ hệ thống có tổn thương phủ tạng</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M32.1†</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 Tổn thương tim hoặc phổi hoặc thận nặng, tiến triển, đe dọa tính mạng.</w:t>
            </w:r>
          </w:p>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 Người bệnh được hưởng quyền lợi ngay trong lượt khám bệnh, chữa bệnh có kết quả chẩn đoán xác định mắc bệnh.</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55.</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Đái tháo đường sơ sinh</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P70.2</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56.</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Dị tật bẩm sinh khác của não</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Q04</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57.</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Các dị tật bẩm sinh khác của tủy sống</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Q06</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58.</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Nhóm các dị tật bẩm sinh của hệ thống tuần hoàn</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Từ Q20 đến Q28</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Người dưới 18 tuổi thuộc một trong 02 trường hợp sau đây:</w:t>
            </w:r>
          </w:p>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 Phẫu thuật/can thiệp loại đặc biệt.</w:t>
            </w:r>
          </w:p>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- 03 phẫu thuật/can thiệp đồng thời trở lên.</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59.</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Biến dạng bẩm sinh của khớp háng</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Q65</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Có chỉ định thay khớp.</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60.</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Kháng (các) thuốc chống lao</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U84.3</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after="0" w:line="240" w:lineRule="auto"/>
              <w:rPr>
                <w:rFonts w:ascii="Arial" w:eastAsia="Times New Roman" w:hAnsi="Arial" w:cs="Arial"/>
                <w:color w:val="000000"/>
                <w:sz w:val="18"/>
                <w:szCs w:val="18"/>
              </w:rPr>
            </w:pP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61.</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Di chứng của hoạt động chiến tranh (Di chứng do vết thương chiến tranh)</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Y89.1</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Áp dụng đối với thương binh, bệnh binh, người có công với cách mạng.</w:t>
            </w:r>
          </w:p>
        </w:tc>
      </w:tr>
      <w:tr w:rsidR="008344EF" w:rsidRPr="008344EF" w:rsidTr="008344E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62.</w:t>
            </w:r>
          </w:p>
        </w:tc>
        <w:tc>
          <w:tcPr>
            <w:tcW w:w="23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Tình trạng của mảnh ghép cơ quan và tổ chức</w:t>
            </w:r>
          </w:p>
        </w:tc>
        <w:tc>
          <w:tcPr>
            <w:tcW w:w="70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jc w:val="center"/>
              <w:rPr>
                <w:rFonts w:ascii="Arial" w:eastAsia="Times New Roman" w:hAnsi="Arial" w:cs="Arial"/>
                <w:color w:val="000000"/>
                <w:sz w:val="18"/>
                <w:szCs w:val="18"/>
              </w:rPr>
            </w:pPr>
            <w:r w:rsidRPr="008344EF">
              <w:rPr>
                <w:rFonts w:ascii="Arial" w:eastAsia="Times New Roman" w:hAnsi="Arial" w:cs="Arial"/>
                <w:color w:val="000000"/>
                <w:sz w:val="20"/>
                <w:szCs w:val="20"/>
              </w:rPr>
              <w:t>Z94</w:t>
            </w:r>
          </w:p>
        </w:tc>
        <w:tc>
          <w:tcPr>
            <w:tcW w:w="1550" w:type="pct"/>
            <w:tcBorders>
              <w:top w:val="nil"/>
              <w:left w:val="nil"/>
              <w:bottom w:val="single" w:sz="8" w:space="0" w:color="auto"/>
              <w:right w:val="single" w:sz="8" w:space="0" w:color="auto"/>
            </w:tcBorders>
            <w:shd w:val="clear" w:color="auto" w:fill="FFFFFF"/>
            <w:vAlign w:val="center"/>
            <w:hideMark/>
          </w:tcPr>
          <w:p w:rsidR="008344EF" w:rsidRPr="008344EF" w:rsidRDefault="008344EF" w:rsidP="008344EF">
            <w:pPr>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Áp dụng đối với người bệnh có ghép tạng và điều trị sau ghép tạng.</w:t>
            </w:r>
          </w:p>
        </w:tc>
      </w:tr>
    </w:tbl>
    <w:p w:rsidR="008344EF" w:rsidRPr="008344EF" w:rsidRDefault="008344EF" w:rsidP="008344EF">
      <w:pPr>
        <w:shd w:val="clear" w:color="auto" w:fill="FFFFFF"/>
        <w:spacing w:before="120" w:after="120" w:line="234" w:lineRule="atLeast"/>
        <w:rPr>
          <w:rFonts w:ascii="Arial" w:eastAsia="Times New Roman" w:hAnsi="Arial" w:cs="Arial"/>
          <w:color w:val="000000"/>
          <w:sz w:val="18"/>
          <w:szCs w:val="18"/>
        </w:rPr>
      </w:pPr>
      <w:r w:rsidRPr="008344EF">
        <w:rPr>
          <w:rFonts w:ascii="Arial" w:eastAsia="Times New Roman" w:hAnsi="Arial" w:cs="Arial"/>
          <w:b/>
          <w:bCs/>
          <w:color w:val="000000"/>
          <w:sz w:val="20"/>
          <w:szCs w:val="20"/>
        </w:rPr>
        <w:t>Ghi chú:</w:t>
      </w:r>
    </w:p>
    <w:p w:rsidR="008344EF" w:rsidRPr="008344EF" w:rsidRDefault="008344EF" w:rsidP="008344EF">
      <w:pPr>
        <w:shd w:val="clear" w:color="auto" w:fill="FFFFFF"/>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1. Các mã bệnh có 03 ký tự trong Phụ lục này bao gồm tất cả các mã bệnh chi tiết có 04 ký tự. Ví dụ: Mã C25 bao gồm các mã C25.0, C25.1, C25.2, C25.3, C25.4, C25.7, C25.8, C25.9</w:t>
      </w:r>
    </w:p>
    <w:p w:rsidR="008344EF" w:rsidRPr="008344EF" w:rsidRDefault="008344EF" w:rsidP="008344EF">
      <w:pPr>
        <w:shd w:val="clear" w:color="auto" w:fill="FFFFFF"/>
        <w:spacing w:before="120" w:after="120" w:line="234" w:lineRule="atLeast"/>
        <w:rPr>
          <w:rFonts w:ascii="Arial" w:eastAsia="Times New Roman" w:hAnsi="Arial" w:cs="Arial"/>
          <w:color w:val="000000"/>
          <w:sz w:val="18"/>
          <w:szCs w:val="18"/>
        </w:rPr>
      </w:pPr>
      <w:r w:rsidRPr="008344EF">
        <w:rPr>
          <w:rFonts w:ascii="Arial" w:eastAsia="Times New Roman" w:hAnsi="Arial" w:cs="Arial"/>
          <w:color w:val="000000"/>
          <w:sz w:val="20"/>
          <w:szCs w:val="20"/>
        </w:rPr>
        <w:t>2. Trường hợp có mã bệnh chi tiết đến 04 ký tự, khi xác định mã bệnh phải ghi rõ mã chi tiết 04 ký tự.</w:t>
      </w:r>
    </w:p>
    <w:p w:rsidR="005B6519" w:rsidRDefault="008344EF" w:rsidP="008344EF">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EF"/>
    <w:rsid w:val="00233F69"/>
    <w:rsid w:val="00543B0B"/>
    <w:rsid w:val="0083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7E0C5-FDF2-48A2-951C-3455F853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4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4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7107">
      <w:bodyDiv w:val="1"/>
      <w:marLeft w:val="0"/>
      <w:marRight w:val="0"/>
      <w:marTop w:val="0"/>
      <w:marBottom w:val="0"/>
      <w:divBdr>
        <w:top w:val="none" w:sz="0" w:space="0" w:color="auto"/>
        <w:left w:val="none" w:sz="0" w:space="0" w:color="auto"/>
        <w:bottom w:val="none" w:sz="0" w:space="0" w:color="auto"/>
        <w:right w:val="none" w:sz="0" w:space="0" w:color="auto"/>
      </w:divBdr>
    </w:div>
    <w:div w:id="112434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2025-01-06T13:36:00Z</dcterms:created>
  <dcterms:modified xsi:type="dcterms:W3CDTF">2025-01-06T13:53:00Z</dcterms:modified>
</cp:coreProperties>
</file>