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DD" w:rsidRPr="00CC56DD" w:rsidRDefault="00CC56DD" w:rsidP="00CC56DD">
      <w:pPr>
        <w:shd w:val="clear" w:color="auto" w:fill="FFFFFF"/>
        <w:spacing w:after="0" w:line="234" w:lineRule="atLeast"/>
        <w:jc w:val="center"/>
        <w:rPr>
          <w:rFonts w:ascii="Arial" w:eastAsia="Times New Roman" w:hAnsi="Arial" w:cs="Arial"/>
          <w:color w:val="000000"/>
          <w:sz w:val="18"/>
          <w:szCs w:val="18"/>
        </w:rPr>
      </w:pPr>
      <w:bookmarkStart w:id="0" w:name="chuong_pl_1"/>
      <w:r w:rsidRPr="00CC56DD">
        <w:rPr>
          <w:rFonts w:ascii="Arial" w:eastAsia="Times New Roman" w:hAnsi="Arial" w:cs="Arial"/>
          <w:b/>
          <w:bCs/>
          <w:color w:val="000000"/>
          <w:sz w:val="18"/>
          <w:szCs w:val="18"/>
        </w:rPr>
        <w:t>Phụ lục I</w:t>
      </w:r>
      <w:bookmarkEnd w:id="0"/>
    </w:p>
    <w:p w:rsidR="00CC56DD" w:rsidRPr="00CC56DD" w:rsidRDefault="00CC56DD" w:rsidP="00CC56DD">
      <w:pPr>
        <w:shd w:val="clear" w:color="auto" w:fill="FFFFFF"/>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i/>
          <w:iCs/>
          <w:color w:val="000000"/>
          <w:sz w:val="18"/>
          <w:szCs w:val="18"/>
        </w:rPr>
        <w:t>(Kèm theo Nghị định số 20/2025/NĐ-CP ngày 10 tháng 02 năm 2025 của Chính phủ)</w:t>
      </w:r>
    </w:p>
    <w:p w:rsidR="00CC56DD" w:rsidRPr="00CC56DD" w:rsidRDefault="00CC56DD" w:rsidP="00CC56DD">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CC56DD">
        <w:rPr>
          <w:rFonts w:ascii="Arial" w:eastAsia="Times New Roman" w:hAnsi="Arial" w:cs="Arial"/>
          <w:b/>
          <w:bCs/>
          <w:color w:val="000000"/>
          <w:sz w:val="18"/>
          <w:szCs w:val="18"/>
        </w:rPr>
        <w:t>THÔNG TIN VỀ QUAN HỆ LIÊN KẾT VÀ GIAO DỊCH LIÊN KẾT</w:t>
      </w:r>
      <w:bookmarkEnd w:id="1"/>
    </w:p>
    <w:p w:rsidR="00CC56DD" w:rsidRPr="00CC56DD" w:rsidRDefault="00CC56DD" w:rsidP="00CC56DD">
      <w:pPr>
        <w:shd w:val="clear" w:color="auto" w:fill="FFFFFF"/>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i/>
          <w:iCs/>
          <w:color w:val="000000"/>
          <w:sz w:val="18"/>
          <w:szCs w:val="18"/>
        </w:rPr>
        <w:t>(Kèm theo Tờ khai quyết toán thuế thu nhập doanh nghiệp)</w:t>
      </w:r>
    </w:p>
    <w:p w:rsidR="00CC56DD" w:rsidRPr="00CC56DD" w:rsidRDefault="00CC56DD" w:rsidP="00CC56DD">
      <w:pPr>
        <w:shd w:val="clear" w:color="auto" w:fill="FFFFFF"/>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Kỳ tính thuế: Từ ………. đến ………..</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13"/>
        <w:gridCol w:w="441"/>
        <w:gridCol w:w="441"/>
        <w:gridCol w:w="441"/>
        <w:gridCol w:w="441"/>
        <w:gridCol w:w="441"/>
        <w:gridCol w:w="441"/>
        <w:gridCol w:w="441"/>
        <w:gridCol w:w="440"/>
        <w:gridCol w:w="440"/>
        <w:gridCol w:w="440"/>
        <w:gridCol w:w="440"/>
        <w:gridCol w:w="440"/>
        <w:gridCol w:w="440"/>
        <w:gridCol w:w="440"/>
        <w:gridCol w:w="440"/>
        <w:gridCol w:w="440"/>
      </w:tblGrid>
      <w:tr w:rsidR="00CC56DD" w:rsidRPr="00CC56DD" w:rsidTr="00CC56DD">
        <w:trPr>
          <w:tblCellSpacing w:w="0" w:type="dxa"/>
        </w:trPr>
        <w:tc>
          <w:tcPr>
            <w:tcW w:w="1050" w:type="pct"/>
            <w:tcBorders>
              <w:top w:val="nil"/>
              <w:left w:val="nil"/>
              <w:bottom w:val="nil"/>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[02]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nil"/>
              <w:left w:val="nil"/>
              <w:bottom w:val="nil"/>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[03] Địa chỉ: .................................................................................................................</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[04] Quận/huyện: …………………………… [05] Tỉnh/thành phố: ......................................</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[06] Điện thoại: ………………… [07] Fax: ………………… [08] Email:...............................</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[09]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13"/>
        <w:gridCol w:w="441"/>
        <w:gridCol w:w="441"/>
        <w:gridCol w:w="441"/>
        <w:gridCol w:w="441"/>
        <w:gridCol w:w="441"/>
        <w:gridCol w:w="441"/>
        <w:gridCol w:w="441"/>
        <w:gridCol w:w="440"/>
        <w:gridCol w:w="440"/>
        <w:gridCol w:w="440"/>
        <w:gridCol w:w="440"/>
        <w:gridCol w:w="440"/>
        <w:gridCol w:w="440"/>
        <w:gridCol w:w="440"/>
        <w:gridCol w:w="440"/>
        <w:gridCol w:w="440"/>
      </w:tblGrid>
      <w:tr w:rsidR="00CC56DD" w:rsidRPr="00CC56DD" w:rsidTr="00CC56DD">
        <w:trPr>
          <w:tblCellSpacing w:w="0" w:type="dxa"/>
        </w:trPr>
        <w:tc>
          <w:tcPr>
            <w:tcW w:w="1050" w:type="pct"/>
            <w:tcBorders>
              <w:top w:val="nil"/>
              <w:left w:val="nil"/>
              <w:bottom w:val="nil"/>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[10]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nil"/>
              <w:left w:val="nil"/>
              <w:bottom w:val="nil"/>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MỤC I. THÔNG TIN VỀ CÁC BÊN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2407"/>
        <w:gridCol w:w="1348"/>
        <w:gridCol w:w="1348"/>
        <w:gridCol w:w="289"/>
        <w:gridCol w:w="289"/>
        <w:gridCol w:w="289"/>
        <w:gridCol w:w="289"/>
        <w:gridCol w:w="289"/>
        <w:gridCol w:w="289"/>
        <w:gridCol w:w="289"/>
        <w:gridCol w:w="289"/>
        <w:gridCol w:w="289"/>
        <w:gridCol w:w="289"/>
        <w:gridCol w:w="289"/>
        <w:gridCol w:w="482"/>
      </w:tblGrid>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STT</w:t>
            </w:r>
          </w:p>
        </w:tc>
        <w:tc>
          <w:tcPr>
            <w:tcW w:w="1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Tên bên liên kết</w:t>
            </w: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Quốc gia</w:t>
            </w: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Mã số thuế</w:t>
            </w:r>
          </w:p>
        </w:tc>
        <w:tc>
          <w:tcPr>
            <w:tcW w:w="1900" w:type="pct"/>
            <w:gridSpan w:val="12"/>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Hình thức quan hệ liên kết</w:t>
            </w:r>
            <w:bookmarkStart w:id="2" w:name="_ftnref1"/>
            <w:bookmarkEnd w:id="2"/>
            <w:r w:rsidRPr="00CC56DD">
              <w:rPr>
                <w:rFonts w:ascii="Arial" w:eastAsia="Times New Roman" w:hAnsi="Arial" w:cs="Arial"/>
                <w:b/>
                <w:bCs/>
                <w:color w:val="000000"/>
                <w:sz w:val="18"/>
                <w:szCs w:val="18"/>
              </w:rPr>
              <w:fldChar w:fldCharType="begin"/>
            </w:r>
            <w:r w:rsidRPr="00CC56DD">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"_ftn1" </w:instrText>
            </w:r>
            <w:r w:rsidRPr="00CC56DD">
              <w:rPr>
                <w:rFonts w:ascii="Arial" w:eastAsia="Times New Roman" w:hAnsi="Arial" w:cs="Arial"/>
                <w:b/>
                <w:bCs/>
                <w:color w:val="000000"/>
                <w:sz w:val="18"/>
                <w:szCs w:val="18"/>
              </w:rPr>
              <w:fldChar w:fldCharType="separate"/>
            </w:r>
            <w:r w:rsidRPr="00CC56DD">
              <w:rPr>
                <w:rFonts w:ascii="Arial" w:eastAsia="Times New Roman" w:hAnsi="Arial" w:cs="Arial"/>
                <w:b/>
                <w:bCs/>
                <w:color w:val="000000"/>
                <w:sz w:val="18"/>
                <w:szCs w:val="18"/>
              </w:rPr>
              <w:t>[1]</w:t>
            </w:r>
            <w:r w:rsidRPr="00CC56DD">
              <w:rPr>
                <w:rFonts w:ascii="Arial" w:eastAsia="Times New Roman" w:hAnsi="Arial" w:cs="Arial"/>
                <w:b/>
                <w:bCs/>
                <w:color w:val="000000"/>
                <w:sz w:val="18"/>
                <w:szCs w:val="18"/>
              </w:rPr>
              <w:fldChar w:fldCharType="end"/>
            </w:r>
          </w:p>
        </w:tc>
      </w:tr>
      <w:tr w:rsidR="00CC56DD" w:rsidRPr="00CC56DD" w:rsidTr="00CC56DD">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12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7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7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w:t>
            </w:r>
          </w:p>
        </w:tc>
        <w:tc>
          <w:tcPr>
            <w:tcW w:w="1900" w:type="pct"/>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(5)</w:t>
            </w:r>
          </w:p>
        </w:tc>
      </w:tr>
      <w:tr w:rsidR="00CC56DD" w:rsidRPr="00CC56DD" w:rsidTr="00CC56D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150" w:type="pct"/>
            <w:tcBorders>
              <w:top w:val="nil"/>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C</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D</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Đ</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E</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G</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H</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I</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K</w:t>
            </w: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L</w:t>
            </w: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M</w:t>
            </w: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1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1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1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MỤC II. CÁC TRƯỜNG HỢP ĐƯỢC MIỄN KÊ KHAI, MIỄN LẬP HỒ SƠ XÁC ĐỊNH GIÁ GIAO DỊCH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3"/>
        <w:gridCol w:w="7735"/>
        <w:gridCol w:w="1132"/>
      </w:tblGrid>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STT</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Trường hợp miễn trừ</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Thuộc diện miễn trừ</w:t>
            </w:r>
            <w:bookmarkStart w:id="3" w:name="_ftnref2"/>
            <w:bookmarkEnd w:id="3"/>
            <w:r w:rsidRPr="00CC56DD">
              <w:rPr>
                <w:rFonts w:ascii="Arial" w:eastAsia="Times New Roman" w:hAnsi="Arial" w:cs="Arial"/>
                <w:b/>
                <w:bCs/>
                <w:color w:val="000000"/>
                <w:sz w:val="18"/>
                <w:szCs w:val="18"/>
              </w:rPr>
              <w:fldChar w:fldCharType="begin"/>
            </w:r>
            <w:r w:rsidRPr="00CC56DD">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"_ftn2" </w:instrText>
            </w:r>
            <w:r w:rsidRPr="00CC56DD">
              <w:rPr>
                <w:rFonts w:ascii="Arial" w:eastAsia="Times New Roman" w:hAnsi="Arial" w:cs="Arial"/>
                <w:b/>
                <w:bCs/>
                <w:color w:val="000000"/>
                <w:sz w:val="18"/>
                <w:szCs w:val="18"/>
              </w:rPr>
              <w:fldChar w:fldCharType="separate"/>
            </w:r>
            <w:r w:rsidRPr="00CC56DD">
              <w:rPr>
                <w:rFonts w:ascii="Arial" w:eastAsia="Times New Roman" w:hAnsi="Arial" w:cs="Arial"/>
                <w:b/>
                <w:bCs/>
                <w:color w:val="000000"/>
                <w:sz w:val="18"/>
                <w:szCs w:val="18"/>
              </w:rPr>
              <w:t>[2]</w:t>
            </w:r>
            <w:r w:rsidRPr="00CC56DD">
              <w:rPr>
                <w:rFonts w:ascii="Arial" w:eastAsia="Times New Roman" w:hAnsi="Arial" w:cs="Arial"/>
                <w:b/>
                <w:bCs/>
                <w:color w:val="000000"/>
                <w:sz w:val="18"/>
                <w:szCs w:val="18"/>
              </w:rPr>
              <w:fldChar w:fldCharType="end"/>
            </w: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Miễn kê khai xác định giá giao dịch liên kết tại mục III, mục IV và được miễn lập Hồ sơ xác định giá giao dịch liên kết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Miễn lập Hồ sơ xác định giá giao dịch liên kết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a</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có phát sinh giao dịch liên kết nhưng tổng doanh thu phát sinh của kỳ tính thuế dưới 50 tỷ đồng và tổng giá trị tất cả các giao dịch liên kết phát sinh trong kỳ tính thuế dưới 30 tỷ đồng</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đã ký kết Thoả thuận trước về phương pháp xác định giá tính thuế thực hiện nộp Báo cáo thường niên theo quy định pháp luật về Thoả thuận trước về phương pháp xác định giá tính thuế</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c</w:t>
            </w: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thực hiện kinh doanh với chức năng đơn giản, không phát sinh doanh thu, chi phí từ hoạt động khai thác, sử dụng tài sản vô hình, có doanh thu dưới 200 tỷ đồng, áp dụng tỷ suất lợi nhuận thuần trước lãi vay và thuế thu nhập doanh nghiệp trên doanh thu, bao gồm các lĩnh vực như sau:</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Phân phối: Từ 5% trở lên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Sản xuất: Từ 10% trở lên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Gia công: Từ 15% trở lên</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MỤC III. THÔNG TIN XÁC ĐỊNH GIÁ GIAO DỊCH LIÊN KẾT</w:t>
      </w:r>
    </w:p>
    <w:p w:rsidR="00CC56DD" w:rsidRPr="00CC56DD" w:rsidRDefault="00CC56DD" w:rsidP="00CC56DD">
      <w:pPr>
        <w:shd w:val="clear" w:color="auto" w:fill="FFFFFF"/>
        <w:spacing w:before="120" w:after="120" w:line="234" w:lineRule="atLeast"/>
        <w:jc w:val="right"/>
        <w:rPr>
          <w:rFonts w:ascii="Arial" w:eastAsia="Times New Roman" w:hAnsi="Arial" w:cs="Arial"/>
          <w:color w:val="000000"/>
          <w:sz w:val="18"/>
          <w:szCs w:val="18"/>
        </w:rPr>
      </w:pPr>
      <w:r w:rsidRPr="00CC56DD">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
        <w:gridCol w:w="681"/>
        <w:gridCol w:w="485"/>
        <w:gridCol w:w="485"/>
        <w:gridCol w:w="682"/>
        <w:gridCol w:w="1070"/>
        <w:gridCol w:w="585"/>
        <w:gridCol w:w="486"/>
        <w:gridCol w:w="779"/>
        <w:gridCol w:w="973"/>
        <w:gridCol w:w="1168"/>
        <w:gridCol w:w="779"/>
        <w:gridCol w:w="682"/>
      </w:tblGrid>
      <w:tr w:rsidR="00CC56DD" w:rsidRPr="00CC56DD" w:rsidTr="00CC56DD">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STT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Nội dung</w:t>
            </w:r>
          </w:p>
        </w:tc>
        <w:tc>
          <w:tcPr>
            <w:tcW w:w="1400" w:type="pct"/>
            <w:gridSpan w:val="4"/>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bán ra cho bên liên kết</w:t>
            </w:r>
          </w:p>
        </w:tc>
        <w:tc>
          <w:tcPr>
            <w:tcW w:w="1450" w:type="pct"/>
            <w:gridSpan w:val="4"/>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mua vào từ bên liên kết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Lợi nhuận tăng do xác định lại theo giá giao dịch độc lập</w:t>
            </w:r>
          </w:p>
        </w:tc>
        <w:tc>
          <w:tcPr>
            <w:tcW w:w="4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Thu hộ, chi hộ, phân bổ cơ sở thường trú</w:t>
            </w:r>
            <w:bookmarkStart w:id="4" w:name="_ftnref3"/>
            <w:bookmarkEnd w:id="4"/>
            <w:r w:rsidRPr="00CC56DD">
              <w:rPr>
                <w:rFonts w:ascii="Arial" w:eastAsia="Times New Roman" w:hAnsi="Arial" w:cs="Arial"/>
                <w:b/>
                <w:bCs/>
                <w:color w:val="000000"/>
                <w:sz w:val="18"/>
                <w:szCs w:val="18"/>
              </w:rPr>
              <w:fldChar w:fldCharType="begin"/>
            </w:r>
            <w:r w:rsidRPr="00CC56DD">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"_ftn3" </w:instrText>
            </w:r>
            <w:r w:rsidRPr="00CC56DD">
              <w:rPr>
                <w:rFonts w:ascii="Arial" w:eastAsia="Times New Roman" w:hAnsi="Arial" w:cs="Arial"/>
                <w:b/>
                <w:bCs/>
                <w:color w:val="000000"/>
                <w:sz w:val="18"/>
                <w:szCs w:val="18"/>
              </w:rPr>
              <w:fldChar w:fldCharType="separate"/>
            </w:r>
            <w:r w:rsidRPr="00CC56DD">
              <w:rPr>
                <w:rFonts w:ascii="Arial" w:eastAsia="Times New Roman" w:hAnsi="Arial" w:cs="Arial"/>
                <w:b/>
                <w:bCs/>
                <w:color w:val="000000"/>
                <w:sz w:val="18"/>
                <w:szCs w:val="18"/>
              </w:rPr>
              <w:t>[3]</w:t>
            </w:r>
            <w:r w:rsidRPr="00CC56DD">
              <w:rPr>
                <w:rFonts w:ascii="Arial" w:eastAsia="Times New Roman" w:hAnsi="Arial" w:cs="Arial"/>
                <w:b/>
                <w:bCs/>
                <w:color w:val="000000"/>
                <w:sz w:val="18"/>
                <w:szCs w:val="18"/>
              </w:rPr>
              <w:fldChar w:fldCharType="end"/>
            </w:r>
          </w:p>
        </w:tc>
        <w:tc>
          <w:tcPr>
            <w:tcW w:w="350" w:type="pct"/>
            <w:vMerge w:val="restar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Giao dịch thuộc phạm vi áp dụng APA</w:t>
            </w:r>
            <w:bookmarkStart w:id="5" w:name="_ftnref4"/>
            <w:bookmarkEnd w:id="5"/>
            <w:r w:rsidRPr="00CC56DD">
              <w:rPr>
                <w:rFonts w:ascii="Arial" w:eastAsia="Times New Roman" w:hAnsi="Arial" w:cs="Arial"/>
                <w:b/>
                <w:bCs/>
                <w:color w:val="000000"/>
                <w:sz w:val="18"/>
                <w:szCs w:val="18"/>
              </w:rPr>
              <w:fldChar w:fldCharType="begin"/>
            </w:r>
            <w:r w:rsidRPr="00CC56DD">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 \l "_ftn4" </w:instrText>
            </w:r>
            <w:r w:rsidRPr="00CC56DD">
              <w:rPr>
                <w:rFonts w:ascii="Arial" w:eastAsia="Times New Roman" w:hAnsi="Arial" w:cs="Arial"/>
                <w:b/>
                <w:bCs/>
                <w:color w:val="000000"/>
                <w:sz w:val="18"/>
                <w:szCs w:val="18"/>
              </w:rPr>
              <w:fldChar w:fldCharType="separate"/>
            </w:r>
            <w:r w:rsidRPr="00CC56DD">
              <w:rPr>
                <w:rFonts w:ascii="Arial" w:eastAsia="Times New Roman" w:hAnsi="Arial" w:cs="Arial"/>
                <w:b/>
                <w:bCs/>
                <w:color w:val="000000"/>
                <w:sz w:val="18"/>
                <w:szCs w:val="18"/>
              </w:rPr>
              <w:t>[4]</w:t>
            </w:r>
            <w:r w:rsidRPr="00CC56DD">
              <w:rPr>
                <w:rFonts w:ascii="Arial" w:eastAsia="Times New Roman" w:hAnsi="Arial" w:cs="Arial"/>
                <w:b/>
                <w:bCs/>
                <w:color w:val="000000"/>
                <w:sz w:val="18"/>
                <w:szCs w:val="18"/>
              </w:rPr>
              <w:fldChar w:fldCharType="end"/>
            </w:r>
          </w:p>
        </w:tc>
      </w:tr>
      <w:tr w:rsidR="00CC56DD" w:rsidRPr="00CC56DD" w:rsidTr="00CC56D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ghi nhận của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lại theo giá giao dịch độc lập</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Chênh lệch</w:t>
            </w: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Phương pháp xác định giá</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ghi nhận của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lại theo giá giao dịch độc lập</w:t>
            </w: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Chênh lệch</w:t>
            </w: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Phương pháp xác định giá</w:t>
            </w: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(5)=(4)-(3)</w:t>
            </w: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(6)</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(7)</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(8)</w:t>
            </w: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(9)=(8)-(7)</w:t>
            </w: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(10)</w:t>
            </w: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(11)=(5)+(9)</w:t>
            </w: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(12)</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w:t>
            </w: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I</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Tổng giá trị giao dịch phát sinh từ hoạt động kinh doanh</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II</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 xml:space="preserve">Tổng giá trị giao </w:t>
            </w:r>
            <w:r w:rsidRPr="00CC56DD">
              <w:rPr>
                <w:rFonts w:ascii="Arial" w:eastAsia="Times New Roman" w:hAnsi="Arial" w:cs="Arial"/>
                <w:b/>
                <w:bCs/>
                <w:color w:val="000000"/>
                <w:sz w:val="18"/>
                <w:szCs w:val="18"/>
              </w:rPr>
              <w:lastRenderedPageBreak/>
              <w:t>dịch phát sinh từ hoạt động liên kết</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lastRenderedPageBreak/>
              <w:t>1</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Hàng hóa</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Hàng hóa hình thành tài sản cố định</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1.2</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Hàng hóa không hình thành tài sản cố định</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2</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Dịch vụ</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Nghiên cứu, phát triển</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2.2</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Quảng cáo, tiếp thị</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2.3</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Quản lý kinh doanh và tư vấn, đào tạo</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2.4</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Hoạt động tài chính</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2.4.1</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Phí bản quyền và các khoản tương tự</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2.4.2</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vay</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2.5</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Dịch vụ khác</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MỤC IV. KẾT QUẢ SẢN XUẤT KINH DOANH SAU KHI XÁC ĐỊNH GIÁ GIAO DỊCH LIÊN KẾT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1. Dành cho người nộp thuế thuộc các ngành sản xuất, thương mại, dịch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CC56DD" w:rsidRPr="00CC56DD" w:rsidTr="00CC56DD">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Không □</w:t>
            </w:r>
          </w:p>
        </w:tc>
      </w:tr>
    </w:tbl>
    <w:p w:rsidR="00CC56DD" w:rsidRPr="00CC56DD" w:rsidRDefault="00CC56DD" w:rsidP="00CC56DD">
      <w:pPr>
        <w:shd w:val="clear" w:color="auto" w:fill="FFFFFF"/>
        <w:spacing w:before="120" w:after="120" w:line="234" w:lineRule="atLeast"/>
        <w:jc w:val="right"/>
        <w:rPr>
          <w:rFonts w:ascii="Arial" w:eastAsia="Times New Roman" w:hAnsi="Arial" w:cs="Arial"/>
          <w:color w:val="000000"/>
          <w:sz w:val="18"/>
          <w:szCs w:val="18"/>
        </w:rPr>
      </w:pPr>
      <w:r w:rsidRPr="00CC56DD">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051"/>
        <w:gridCol w:w="572"/>
        <w:gridCol w:w="667"/>
        <w:gridCol w:w="572"/>
        <w:gridCol w:w="1905"/>
      </w:tblGrid>
      <w:tr w:rsidR="00CC56DD" w:rsidRPr="00CC56DD" w:rsidTr="00CC56DD">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STT</w:t>
            </w:r>
          </w:p>
        </w:tc>
        <w:tc>
          <w:tcPr>
            <w:tcW w:w="26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Chỉ tiêu</w:t>
            </w:r>
          </w:p>
        </w:tc>
        <w:tc>
          <w:tcPr>
            <w:tcW w:w="650" w:type="pct"/>
            <w:gridSpan w:val="2"/>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giao dịch liên kết</w:t>
            </w:r>
          </w:p>
        </w:tc>
        <w:tc>
          <w:tcPr>
            <w:tcW w:w="3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giao dịch với các bên độc lập</w:t>
            </w:r>
          </w:p>
        </w:tc>
        <w:tc>
          <w:tcPr>
            <w:tcW w:w="1000" w:type="pct"/>
            <w:vMerge w:val="restar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Tổng giá trị phát sinh từ hoạt động kinh doanh trong kỳ</w:t>
            </w:r>
          </w:p>
        </w:tc>
      </w:tr>
      <w:tr w:rsidR="00CC56DD" w:rsidRPr="00CC56DD" w:rsidTr="00CC56D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theo Hồ sơ xác định giá giao dịch liên kết</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(5)</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(6)=(3)+(4)+(5)</w:t>
            </w: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Doanh thu bán hàng và cung cấp dịch vụ</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Trong đó: Doanh thu bán hàng hóa, dịch vụ xuất khẩu</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2</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Các khoản giảm trừ doanh thu</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3</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Doanh thu thuần về bán hàng và cung cấp dịch vụ (3)=(1)-(2)</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4</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Giá vốn hàng bán</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lastRenderedPageBreak/>
              <w:t>5</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Lợi nhuận gộp về bán hàng và cung cấp dịch vụ (5)=(3)-(4)</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6</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bán hàng</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7</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quản lý doanh nghiệp</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8</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Doanh thu hoạt động tài chính</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8 1</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Trong đó: Lãi tiền gửi và lãi cho vay</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9</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tài chính</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9.1</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Trong đó: Chi phí lãi vay</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9.1.a</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lãi vay được trừ trong kỳ</w:t>
            </w: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9.1.b</w:t>
            </w:r>
          </w:p>
        </w:tc>
        <w:tc>
          <w:tcPr>
            <w:tcW w:w="26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Phần chi phí lãi vay trong kỳ không được trừ chuyển sang kỳ sau theo quy định tại </w:t>
            </w:r>
            <w:bookmarkStart w:id="6" w:name="dc_11"/>
            <w:r w:rsidRPr="00CC56DD">
              <w:rPr>
                <w:rFonts w:ascii="Arial" w:eastAsia="Times New Roman" w:hAnsi="Arial" w:cs="Arial"/>
                <w:color w:val="000000"/>
                <w:sz w:val="18"/>
                <w:szCs w:val="18"/>
              </w:rPr>
              <w:t>điểm b khoản 3 Điều 16</w:t>
            </w:r>
            <w:bookmarkEnd w:id="6"/>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10</w:t>
            </w:r>
          </w:p>
        </w:tc>
        <w:tc>
          <w:tcPr>
            <w:tcW w:w="26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khấu hao phát sinh trong kỳ</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11</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Lợi nhuận thuần từ hoạt động sản xuất kinh doanh trong kỳ (11)=(5)-(6)-(7)+(8)-(9)</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12</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Lợi nhuận thuần từ hoạt động sản xuất kinh doanh trong kỳ không bao gồm chênh lệch doanh thu và chi phí của hoạt động tài chính (12)=(11)-(8)+(9)</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13</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Tổng lợi nhuận thuần từ hoạt động kinh doanh cộng chi phí lãi vay sau khi trừ lãi tiên gửi và lãi cho vay trong kỳ cộng chi phí khấu hao trong kỳ (13)=(11)+(9.1)-(8.1)+(10)</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14</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 (14)=[(9.1)-(8.1)]/(13)</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15</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lãi vay của các kỳ trước chuyển sang, trong đó: (15)=(15.1)+(15.2)+(15.3)+(15.4)+(15.5)</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15.1</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(n-1)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15.2</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phi lãi vay không được trừ từ năm (n-2)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15.3</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(n-3)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15.4</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(n-4)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15.5</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(n-5)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16</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Tỷ lệ chi phí lãi vay sau khi trừ lãi tiền gửi và lãi cho vay phát sinh cộng chi phí lãi vay của các kỳ trước chuyển sang trên tổng lợi nhuận thuần từ hoạt động kinh doanh cộng chi phí lãi vay (sau khi trừ lãi tiền gửi và lãi cho vay) trong kỳ cộng chi phí khấu hao trong kỳ (16)=[(9.1)- (8.1)+(15)]/(13)</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17</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Tỷ suất lợi nhuận sử dụng xác định giá giao dịch liên kết</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17.1</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Tỷ suất ………………..</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17.2</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Tỷ suất ………………..</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17.3</w:t>
            </w:r>
          </w:p>
        </w:tc>
        <w:tc>
          <w:tcPr>
            <w:tcW w:w="26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w:t>
            </w: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2. Dành cho người nộp thuế thuộc các ngành ngân hàng, tín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CC56DD" w:rsidRPr="00CC56DD" w:rsidTr="00CC56DD">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Không □</w:t>
            </w:r>
          </w:p>
        </w:tc>
      </w:tr>
    </w:tbl>
    <w:p w:rsidR="00CC56DD" w:rsidRPr="00CC56DD" w:rsidRDefault="00CC56DD" w:rsidP="00CC56DD">
      <w:pPr>
        <w:shd w:val="clear" w:color="auto" w:fill="FFFFFF"/>
        <w:spacing w:before="120" w:after="120" w:line="234" w:lineRule="atLeast"/>
        <w:jc w:val="right"/>
        <w:rPr>
          <w:rFonts w:ascii="Arial" w:eastAsia="Times New Roman" w:hAnsi="Arial" w:cs="Arial"/>
          <w:color w:val="000000"/>
          <w:sz w:val="18"/>
          <w:szCs w:val="18"/>
        </w:rPr>
      </w:pPr>
      <w:r w:rsidRPr="00CC56DD">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3813"/>
        <w:gridCol w:w="1429"/>
        <w:gridCol w:w="1048"/>
        <w:gridCol w:w="953"/>
        <w:gridCol w:w="1620"/>
      </w:tblGrid>
      <w:tr w:rsidR="00CC56DD" w:rsidRPr="00CC56DD" w:rsidTr="00CC56DD">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STT</w:t>
            </w:r>
          </w:p>
        </w:tc>
        <w:tc>
          <w:tcPr>
            <w:tcW w:w="20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Chỉ tiêu</w:t>
            </w:r>
          </w:p>
        </w:tc>
        <w:tc>
          <w:tcPr>
            <w:tcW w:w="1300" w:type="pct"/>
            <w:gridSpan w:val="2"/>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giao dịch liên kết</w:t>
            </w:r>
          </w:p>
        </w:tc>
        <w:tc>
          <w:tcPr>
            <w:tcW w:w="5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giao dịch với các bên độc lập</w:t>
            </w:r>
          </w:p>
        </w:tc>
        <w:tc>
          <w:tcPr>
            <w:tcW w:w="850" w:type="pct"/>
            <w:vMerge w:val="restar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Tổng giá trị phát sinh từ hoạt động kinh doanh trong kỳ</w:t>
            </w:r>
          </w:p>
        </w:tc>
      </w:tr>
      <w:tr w:rsidR="00CC56DD" w:rsidRPr="00CC56DD" w:rsidTr="00CC56D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theo Hồ sơ xác định giá giao dịch liên kết</w:t>
            </w: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w:t>
            </w: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(5)</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(6)=(3)+(4)+(5)</w:t>
            </w: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Thu nhập lãi và các khoản thu nhập tương tự</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lãi và các chi phí tương tự</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Thu nhập lãi thuần (3)=(1)-(2)</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Thu nhập từ hoạt động dịch vụ</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5</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hoạt động dịch vụ</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6</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Lãi/lỗ thuần từ hoạt động dịch vụ (6)=(4)-(5)</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7</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Lãi/lỗ thuần từ hoạt động kinh doanh ngoại hối</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8</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Lãi/lỗ thuần từ mua bán chứng khoán kinh doanh</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9</w:t>
            </w:r>
          </w:p>
        </w:tc>
        <w:tc>
          <w:tcPr>
            <w:tcW w:w="20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Lãi/lỗ thuần từ mua bán chứng khoán đầu tư</w:t>
            </w:r>
          </w:p>
        </w:tc>
        <w:tc>
          <w:tcPr>
            <w:tcW w:w="7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10</w:t>
            </w:r>
          </w:p>
        </w:tc>
        <w:tc>
          <w:tcPr>
            <w:tcW w:w="20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Thu nhập từ hoạt động khác</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hoạt động khác</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12</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Lãi/lỗ thuần từ hoạt động khác (12)=(10)-(11)</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Thu nhập từ góp vốn, mua cổ phần</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14</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hoạt động</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dự phòng rủi ro tín dụng</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16</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Tổng lợi nhuận trước thuế (16)=(3)+(6)+(7)+(8)+(9)+ (12)+(13)-(14)-(15)</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17</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Lợi nhuận thuần từ hoạt động sản xuất kinh doanh (17=16-12)</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18</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Tỷ suất lợi nhuận sử dụng xác định giá giao dịch liên kết</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18.1</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Tỷ suất …………….</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18.2</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Tỷ suất …………….</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18.3</w:t>
            </w:r>
          </w:p>
        </w:tc>
        <w:tc>
          <w:tcPr>
            <w:tcW w:w="20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7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3. Dành cho người nộp thuế là các Công ty chứng khoán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CC56DD" w:rsidRPr="00CC56DD" w:rsidTr="00CC56DD">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Không □</w:t>
            </w:r>
          </w:p>
        </w:tc>
      </w:tr>
    </w:tbl>
    <w:p w:rsidR="00CC56DD" w:rsidRPr="00CC56DD" w:rsidRDefault="00CC56DD" w:rsidP="00CC56DD">
      <w:pPr>
        <w:shd w:val="clear" w:color="auto" w:fill="FFFFFF"/>
        <w:spacing w:before="120" w:after="120" w:line="234" w:lineRule="atLeast"/>
        <w:jc w:val="right"/>
        <w:rPr>
          <w:rFonts w:ascii="Arial" w:eastAsia="Times New Roman" w:hAnsi="Arial" w:cs="Arial"/>
          <w:color w:val="000000"/>
          <w:sz w:val="18"/>
          <w:szCs w:val="18"/>
        </w:rPr>
      </w:pPr>
      <w:r w:rsidRPr="00CC56DD">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5200"/>
        <w:gridCol w:w="1059"/>
        <w:gridCol w:w="482"/>
        <w:gridCol w:w="674"/>
        <w:gridCol w:w="1444"/>
      </w:tblGrid>
      <w:tr w:rsidR="00CC56DD" w:rsidRPr="00CC56DD" w:rsidTr="00CC56DD">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STT</w:t>
            </w:r>
          </w:p>
        </w:tc>
        <w:tc>
          <w:tcPr>
            <w:tcW w:w="270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Chỉ tiêu</w:t>
            </w:r>
          </w:p>
        </w:tc>
        <w:tc>
          <w:tcPr>
            <w:tcW w:w="800" w:type="pct"/>
            <w:gridSpan w:val="2"/>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giao dịch liên kết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giao dịch với các bên độc lập</w:t>
            </w:r>
          </w:p>
        </w:tc>
        <w:tc>
          <w:tcPr>
            <w:tcW w:w="750" w:type="pct"/>
            <w:vMerge w:val="restar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Tổng giá trị phát sinh từ hoạt động kinh doanh trong kỳ</w:t>
            </w:r>
          </w:p>
        </w:tc>
      </w:tr>
      <w:tr w:rsidR="00CC56DD" w:rsidRPr="00CC56DD" w:rsidTr="00CC56D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theo Hồ sơ xác định giá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w:t>
            </w:r>
          </w:p>
        </w:tc>
        <w:tc>
          <w:tcPr>
            <w:tcW w:w="2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w:t>
            </w: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w:t>
            </w: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w:t>
            </w: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(5)</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(6)=(3)+(4)+(5)</w:t>
            </w:r>
          </w:p>
        </w:tc>
      </w:tr>
      <w:tr w:rsidR="00CC56DD" w:rsidRPr="00CC56DD" w:rsidTr="00CC56D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w:t>
            </w:r>
          </w:p>
        </w:tc>
        <w:tc>
          <w:tcPr>
            <w:tcW w:w="270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Doanh thu hoạt động</w:t>
            </w:r>
          </w:p>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(1)=(1.1)+(1.2)+(1.3)+(1.4)+(1.5)+(1.6)+(1.7)+(1.8)+(1.9)+ (1.10)+(1.11)</w:t>
            </w:r>
          </w:p>
        </w:tc>
        <w:tc>
          <w:tcPr>
            <w:tcW w:w="5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1.1</w:t>
            </w:r>
          </w:p>
        </w:tc>
        <w:tc>
          <w:tcPr>
            <w:tcW w:w="270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từ các tài sản tài chính ghi nhận thông qua lãi/lỗ (FVTPL) (1.1)=(1.1.a)+(1.1.b)+(1.1.c)</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1.1.a</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bán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1.1.b</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Chênh lệch tăng về đánh giá lại các TSTC FVTPL</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1.1.c</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Cổ tức, tiền lãi phát sinh từ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từ các khoản đầu tư nắm giữ đến ngày đáo hạn (HTM)</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từ các khoản cho vay và phải thu</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từ tài sản tài chính sẵn sàng để bán (AFS)</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từ các công cụ phái sinh phòng ngừa rủi ro</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1.6</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nghiệp vụ môi giới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1.7</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nghiệp vụ bảo lãnh, đại lý phát hành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1.8</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nghiệp vụ tư vấn đầu tư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1.9</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nghiệp vụ lưu ký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1.10</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hoạt động tư vấn tài chính</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1.11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Thu nhập hoạt động khác</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hoạt động</w:t>
            </w:r>
          </w:p>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(2)=(2.1)+(2.2)+(2.3)+(2.4)+(2.5)+(2.6)+(2.7)+(2.8)+(2.9)+ (2.10)+(2.11)+(2.12)</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Lỗ các tài sản tài chính ghi nhận thông qua lãi/lỗ (FVTPL) (2.1)=(2.1.a)+(2.1.b)+(2.1.c)</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2.1.a</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Lỗ bán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2.1.b</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Chênh lệch giảm đánh giá lại các TSTC FVTPL</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2.1.c</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giao dịch mua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Lỗ các khoản đầu tư nắm giữ đến ngày đáo hạn (HTM)</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Lỗ và ghi nhận chênh lệch đánh giá theo giá trị hợp lý tài sản tài chính sẵn sàng để bán (AFS) khi phân loại lại</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dự phòng tài sản tài chính, xử lý tổn thất các khoản phải thu khó đòi và lỗ suy giảm tài sản tài chính và chi phí đi vay của các khoản cho vay</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2.5</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Lỗ từ các tài sản tài chính phái sinh phòng ngừa rủi ro</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2.6</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hoạt động tự doanh</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2.7</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nghiệp vụ môi giới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2.8</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nghiệp vụ bảo lãnh, đại lý phát hành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2.9</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nghiệp vụ tư vấn đầu tư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2.10</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nghiệp vụ lưu ký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hoạt động tư vấn tài chính</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2.12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các dịch vụ khác</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Doanh thu hoạt động tài chính (3)=(3.1)+(3.2)+(3.3)+(3.4)</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Chênh lệch lãi tỷ giá hối đoái đã và chưa thực hiện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dự thu cổ tức, lãi tiền gửi ngân hàng không cố định</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Lãi bán, thanh lý các khoản đầu tư vào công ty con, liên kết, liên doanh</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3.4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Doanh thu khác về đầu tư</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tài chính (4)=(4.1)+(4.2)+(4.3)+(4.4)+(4.5)</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Chênh lệch lỗ tỷ giá hối đoái đã và chưa thực hiện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lãi vay</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Lỗ bán, thanh lý các khoản đần tư vào công ty con, liên kết, liên doanh</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dự phòng suy giảm giá trị các khoản đầu tư tài chính dài hạn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4.5</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tài chính khác</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5</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bán hàng</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6</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quản lý công ty chứng khoán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7</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Kết quả hoạt động (7)=(1)-(2)+(3)-(4)-(5)-(6)</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8</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Tổng lãi tiền gửi và lãi cho vay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9</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Tổng chi phí lãi vay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9.1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Chi phí lãi vay được trừ trong kỳ</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9.2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Phần chi phí lãi vay trong kỳ không được trừ chuyển sang kỳ sau theo quy định tại </w:t>
            </w:r>
            <w:bookmarkStart w:id="7" w:name="dc_12"/>
            <w:r w:rsidRPr="00CC56DD">
              <w:rPr>
                <w:rFonts w:ascii="Arial" w:eastAsia="Times New Roman" w:hAnsi="Arial" w:cs="Arial"/>
                <w:color w:val="000000"/>
                <w:sz w:val="18"/>
                <w:szCs w:val="18"/>
              </w:rPr>
              <w:t>điểm b khoản 3 Điều 16</w:t>
            </w:r>
            <w:bookmarkEnd w:id="7"/>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10</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khấu hao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Tổng lợi nhuận thuần từ hoạt động kinh doanh trong kỳ cộng chi phí lãi vay sau khi trừ lãi tiền gửi và lãi cho vay phát sinh trong kỳ cộng chi phí khấu hao phát sinh trong kỳ [(11)=(7)+(9)-(8)+(10)]</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 (12)=[(9)-(8)]/(11)</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Chi phí lãi vay của các kỳ trước chuyển sang (13)=(13.1)+(13.2)+(13.3)+(13.4)+(13.5)</w:t>
            </w:r>
          </w:p>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Trong đó:</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(n-1)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(n-2)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(n-3)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(n-4)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13.5</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Phần chi phí lãi vay không được trừ từ năm (n-5)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14</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Tỷ lệ chi phí lãi vay sau khi trừ lãi tiền gửi và lãi cho vay phát sinh được trừ trong kỳ cộng chi phí lãi vay của các kỳ trước chuyển sang kỳ tính thuế (n) trên tổng lợi nhuận thuần từ hoạt động kinh doanh cộng chi phí lãi vay thuần phát sinh trong kỳ cộng chi phí khấu hao phát sinh trong kỳ của người nộp thuế (14) = [(9)-(8)+(13))/(11)</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15</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t>Tỷ suất lợi nhuận sử dụng xác định giá giao dịch liên kết</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15.1</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Tỷ suất ……………………………</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15.2</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Tỷ suất ……………………………</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r w:rsidR="00CC56DD" w:rsidRPr="00CC56DD" w:rsidTr="00CC56D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color w:val="000000"/>
                <w:sz w:val="18"/>
                <w:szCs w:val="18"/>
              </w:rPr>
              <w:t>15.3</w:t>
            </w:r>
          </w:p>
        </w:tc>
        <w:tc>
          <w:tcPr>
            <w:tcW w:w="270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w:t>
            </w:r>
          </w:p>
        </w:tc>
        <w:tc>
          <w:tcPr>
            <w:tcW w:w="5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CC56DD" w:rsidRPr="00CC56DD" w:rsidRDefault="00CC56DD" w:rsidP="00CC56DD">
            <w:pPr>
              <w:spacing w:after="0" w:line="240" w:lineRule="auto"/>
              <w:rPr>
                <w:rFonts w:ascii="Times New Roman" w:eastAsia="Times New Roman" w:hAnsi="Times New Roman" w:cs="Times New Roman"/>
                <w:sz w:val="20"/>
                <w:szCs w:val="20"/>
              </w:rPr>
            </w:pPr>
          </w:p>
        </w:tc>
      </w:tr>
    </w:tbl>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Tôi cam đoan số liệu khai trên là đúng và chịu trách nhiệm trước pháp luật về số liệu đã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CC56DD" w:rsidRPr="00CC56DD" w:rsidTr="00CC56DD">
        <w:trPr>
          <w:tblCellSpacing w:w="0" w:type="dxa"/>
        </w:trPr>
        <w:tc>
          <w:tcPr>
            <w:tcW w:w="3708" w:type="dxa"/>
            <w:shd w:val="clear" w:color="auto" w:fill="FFFFFF"/>
            <w:tcMar>
              <w:top w:w="0" w:type="dxa"/>
              <w:left w:w="108" w:type="dxa"/>
              <w:bottom w:w="0" w:type="dxa"/>
              <w:right w:w="108" w:type="dxa"/>
            </w:tcMar>
            <w:hideMark/>
          </w:tcPr>
          <w:p w:rsidR="00CC56DD" w:rsidRPr="00CC56DD" w:rsidRDefault="00CC56DD" w:rsidP="00CC56DD">
            <w:pPr>
              <w:spacing w:before="120" w:after="120" w:line="234" w:lineRule="atLeast"/>
              <w:rPr>
                <w:rFonts w:ascii="Arial" w:eastAsia="Times New Roman" w:hAnsi="Arial" w:cs="Arial"/>
                <w:color w:val="000000"/>
                <w:sz w:val="18"/>
                <w:szCs w:val="18"/>
              </w:rPr>
            </w:pPr>
            <w:r w:rsidRPr="00CC56DD">
              <w:rPr>
                <w:rFonts w:ascii="Arial" w:eastAsia="Times New Roman" w:hAnsi="Arial" w:cs="Arial"/>
                <w:b/>
                <w:bCs/>
                <w:color w:val="000000"/>
                <w:sz w:val="18"/>
                <w:szCs w:val="18"/>
              </w:rPr>
              <w:lastRenderedPageBreak/>
              <w:br/>
              <w:t>NHÂN VIÊN ĐẠI LÝ THUẾ</w:t>
            </w:r>
            <w:r w:rsidRPr="00CC56DD">
              <w:rPr>
                <w:rFonts w:ascii="Arial" w:eastAsia="Times New Roman" w:hAnsi="Arial" w:cs="Arial"/>
                <w:b/>
                <w:bCs/>
                <w:color w:val="000000"/>
                <w:sz w:val="18"/>
                <w:szCs w:val="18"/>
              </w:rPr>
              <w:br/>
            </w:r>
            <w:r w:rsidRPr="00CC56DD">
              <w:rPr>
                <w:rFonts w:ascii="Arial" w:eastAsia="Times New Roman" w:hAnsi="Arial" w:cs="Arial"/>
                <w:color w:val="000000"/>
                <w:sz w:val="18"/>
                <w:szCs w:val="18"/>
              </w:rPr>
              <w:t>Họ và tên: ……………………..</w:t>
            </w:r>
            <w:r w:rsidRPr="00CC56DD">
              <w:rPr>
                <w:rFonts w:ascii="Arial" w:eastAsia="Times New Roman" w:hAnsi="Arial" w:cs="Arial"/>
                <w:color w:val="000000"/>
                <w:sz w:val="18"/>
                <w:szCs w:val="18"/>
              </w:rPr>
              <w:br/>
              <w:t>Chứng chỉ hành nghề số: ……</w:t>
            </w:r>
          </w:p>
        </w:tc>
        <w:tc>
          <w:tcPr>
            <w:tcW w:w="5148" w:type="dxa"/>
            <w:shd w:val="clear" w:color="auto" w:fill="FFFFFF"/>
            <w:tcMar>
              <w:top w:w="0" w:type="dxa"/>
              <w:left w:w="108" w:type="dxa"/>
              <w:bottom w:w="0" w:type="dxa"/>
              <w:right w:w="108" w:type="dxa"/>
            </w:tcMar>
            <w:hideMark/>
          </w:tcPr>
          <w:p w:rsidR="00CC56DD" w:rsidRPr="00CC56DD" w:rsidRDefault="00CC56DD" w:rsidP="00CC56DD">
            <w:pPr>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i/>
                <w:iCs/>
                <w:color w:val="000000"/>
                <w:sz w:val="18"/>
                <w:szCs w:val="18"/>
              </w:rPr>
              <w:t>……….., ngày … tháng … năm....</w:t>
            </w:r>
            <w:r w:rsidRPr="00CC56DD">
              <w:rPr>
                <w:rFonts w:ascii="Arial" w:eastAsia="Times New Roman" w:hAnsi="Arial" w:cs="Arial"/>
                <w:i/>
                <w:iCs/>
                <w:color w:val="000000"/>
                <w:sz w:val="18"/>
                <w:szCs w:val="18"/>
              </w:rPr>
              <w:br/>
            </w:r>
            <w:r w:rsidRPr="00CC56DD">
              <w:rPr>
                <w:rFonts w:ascii="Arial" w:eastAsia="Times New Roman" w:hAnsi="Arial" w:cs="Arial"/>
                <w:b/>
                <w:bCs/>
                <w:color w:val="000000"/>
                <w:sz w:val="18"/>
                <w:szCs w:val="18"/>
              </w:rPr>
              <w:t>NGƯỜI NỘP THUẾ hoặc</w:t>
            </w:r>
            <w:r w:rsidRPr="00CC56DD">
              <w:rPr>
                <w:rFonts w:ascii="Arial" w:eastAsia="Times New Roman" w:hAnsi="Arial" w:cs="Arial"/>
                <w:b/>
                <w:bCs/>
                <w:color w:val="000000"/>
                <w:sz w:val="18"/>
                <w:szCs w:val="18"/>
              </w:rPr>
              <w:br/>
              <w:t>ĐẠI DIỆN HỢP PHÁP CỦA NGƯỜI NỘP THUẾ</w:t>
            </w:r>
            <w:r w:rsidRPr="00CC56DD">
              <w:rPr>
                <w:rFonts w:ascii="Arial" w:eastAsia="Times New Roman" w:hAnsi="Arial" w:cs="Arial"/>
                <w:b/>
                <w:bCs/>
                <w:color w:val="000000"/>
                <w:sz w:val="18"/>
                <w:szCs w:val="18"/>
              </w:rPr>
              <w:br/>
            </w:r>
            <w:r w:rsidRPr="00CC56DD">
              <w:rPr>
                <w:rFonts w:ascii="Arial" w:eastAsia="Times New Roman" w:hAnsi="Arial" w:cs="Arial"/>
                <w:i/>
                <w:iCs/>
                <w:color w:val="000000"/>
                <w:sz w:val="18"/>
                <w:szCs w:val="18"/>
              </w:rPr>
              <w:t>(Ký, ghi rõ họ tên; chức vụ và đóng dấu (nếu có))</w:t>
            </w:r>
          </w:p>
        </w:tc>
      </w:tr>
    </w:tbl>
    <w:p w:rsidR="00CC56DD" w:rsidRPr="00CC56DD" w:rsidRDefault="00CC56DD" w:rsidP="00CC56DD">
      <w:pPr>
        <w:shd w:val="clear" w:color="auto" w:fill="FFFFFF"/>
        <w:spacing w:before="120" w:after="120" w:line="234" w:lineRule="atLeast"/>
        <w:jc w:val="center"/>
        <w:rPr>
          <w:rFonts w:ascii="Arial" w:eastAsia="Times New Roman" w:hAnsi="Arial" w:cs="Arial"/>
          <w:color w:val="000000"/>
          <w:sz w:val="18"/>
          <w:szCs w:val="18"/>
        </w:rPr>
      </w:pPr>
      <w:r w:rsidRPr="00CC56DD">
        <w:rPr>
          <w:rFonts w:ascii="Arial" w:eastAsia="Times New Roman" w:hAnsi="Arial" w:cs="Arial"/>
          <w:b/>
          <w:bCs/>
          <w:color w:val="000000"/>
          <w:sz w:val="18"/>
          <w:szCs w:val="18"/>
        </w:rPr>
        <w:t>HƯỚNG DẪN KÊ KHAI MỘT SỐ CHỈ TIÊU</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A. Kỳ tính thuế: Ghi thông tin tương ứng với kỳ tính thuế của Tờ khai quyết toán thuế thu nhập doanh nghiệp. Kỳ tính thuế xác định theo quy định tại </w:t>
      </w:r>
      <w:bookmarkStart w:id="8" w:name="tvpllink_evjddmtmvc_1"/>
      <w:r w:rsidRPr="00CC56DD">
        <w:rPr>
          <w:rFonts w:ascii="Arial" w:eastAsia="Times New Roman" w:hAnsi="Arial" w:cs="Arial"/>
          <w:color w:val="000000"/>
          <w:sz w:val="18"/>
          <w:szCs w:val="18"/>
        </w:rPr>
        <w:t>Luật Thuế thu nhập doanh nghiệp</w:t>
      </w:r>
      <w:bookmarkEnd w:id="8"/>
      <w:r w:rsidRPr="00CC56DD">
        <w:rPr>
          <w:rFonts w:ascii="Arial" w:eastAsia="Times New Roman" w:hAnsi="Arial" w:cs="Arial"/>
          <w:color w:val="000000"/>
          <w:sz w:val="18"/>
          <w:szCs w:val="18"/>
        </w:rPr>
        <w: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 Thông tin chung của người nộp thuế: Từ chỉ tiêu [01] đến chỉ tiêu [10] ghi thông tin tương ứng với thông tin đã ghi tại Tờ khai quyết toán thuế thu nhập doanh nghiệp.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 Mục I. Thông tin về các bên liên kết: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(2): Ghi đầy đủ tên của từng bên liên kết: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Trường hợp bên liên kết tại Việt Nam là tổ chức thì ghi theo thông tin tại giấy phép đăng ký doanh nghiệp; là cá nhân thì ghi theo thông tin tại chứng minh nhân dân, thẻ căn cước công dân, hộ chiếu.</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Trường hợp bên liên kết là tổ chức, cá nhân ngoài Việt Nam thì ghi theo thông tin tại văn bản xác định quan hệ liên kết như giấy phép đăng ký kinh doanh, hợp đồng, thỏa thuận giao dịch của người nộp thuế với bên liên kết.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Ghi tên quốc gia, vùng lãnh thổ nơi bên liên kết là đối tượng cư trú.</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(4): Ghi mã số thuế của các bên liên kết: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Trường hợp bên liên kết là tổ chức, cá nhân tại Việt Nam thì ghi đủ mã số thuế.</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Trường hợp bên liên kết là tổ chức, cá nhân ngoài Việt Nam thì ghi đủ mã số thuế, mã định danh người nộp thuế, nếu không có thì ghi rõ lý do.</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(5): Căn cứ quy định tại </w:t>
      </w:r>
      <w:bookmarkStart w:id="9" w:name="dc_13"/>
      <w:r w:rsidRPr="00CC56DD">
        <w:rPr>
          <w:rFonts w:ascii="Arial" w:eastAsia="Times New Roman" w:hAnsi="Arial" w:cs="Arial"/>
          <w:color w:val="000000"/>
          <w:sz w:val="18"/>
          <w:szCs w:val="18"/>
        </w:rPr>
        <w:t>khoản 2 Điều 5 Nghị định số 132/2020/NĐ-CP</w:t>
      </w:r>
      <w:bookmarkEnd w:id="9"/>
      <w:r w:rsidRPr="00CC56DD">
        <w:rPr>
          <w:rFonts w:ascii="Arial" w:eastAsia="Times New Roman" w:hAnsi="Arial" w:cs="Arial"/>
          <w:color w:val="000000"/>
          <w:sz w:val="18"/>
          <w:szCs w:val="18"/>
        </w:rPr>
        <w:t> và </w:t>
      </w:r>
      <w:bookmarkStart w:id="10" w:name="tc_3"/>
      <w:r w:rsidRPr="00CC56DD">
        <w:rPr>
          <w:rFonts w:ascii="Arial" w:eastAsia="Times New Roman" w:hAnsi="Arial" w:cs="Arial"/>
          <w:color w:val="0000FF"/>
          <w:sz w:val="18"/>
          <w:szCs w:val="18"/>
        </w:rPr>
        <w:t>Điều 1 Nghị định số 20/2025/NĐ-CP</w:t>
      </w:r>
      <w:bookmarkEnd w:id="10"/>
      <w:r w:rsidRPr="00CC56DD">
        <w:rPr>
          <w:rFonts w:ascii="Arial" w:eastAsia="Times New Roman" w:hAnsi="Arial" w:cs="Arial"/>
          <w:color w:val="000000"/>
          <w:sz w:val="18"/>
          <w:szCs w:val="18"/>
        </w:rPr>
        <w:t>,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D. Mục II. Các trường hợp được miễn kê khai, miễn lập hồ sơ xác định giá giao dịch liên kết:</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Nếu người nộp thuế thuộc trường hợp được miễn kê khai, miễn lập Hồ sơ xác định giá giao dịch liên kết quy định tại </w:t>
      </w:r>
      <w:bookmarkStart w:id="11" w:name="dc_14"/>
      <w:r w:rsidRPr="00CC56DD">
        <w:rPr>
          <w:rFonts w:ascii="Arial" w:eastAsia="Times New Roman" w:hAnsi="Arial" w:cs="Arial"/>
          <w:color w:val="000000"/>
          <w:sz w:val="18"/>
          <w:szCs w:val="18"/>
        </w:rPr>
        <w:t>Điều 19 Nghị định số 132/2020/NĐ-CP</w:t>
      </w:r>
      <w:bookmarkEnd w:id="11"/>
      <w:r w:rsidRPr="00CC56DD">
        <w:rPr>
          <w:rFonts w:ascii="Arial" w:eastAsia="Times New Roman" w:hAnsi="Arial" w:cs="Arial"/>
          <w:color w:val="000000"/>
          <w:sz w:val="18"/>
          <w:szCs w:val="18"/>
        </w:rPr>
        <w:t> tại Cột (2) thì đánh dấu “x” vào ô thuộc diện miễn trừ tương ứng tại Cột (3).</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Trường hợp người nộp thuế được miễn kê khai, miễn lập hồ sơ xác định giá giao dịch liên kết theo quy định tại </w:t>
      </w:r>
      <w:bookmarkStart w:id="12" w:name="dc_15"/>
      <w:r w:rsidRPr="00CC56DD">
        <w:rPr>
          <w:rFonts w:ascii="Arial" w:eastAsia="Times New Roman" w:hAnsi="Arial" w:cs="Arial"/>
          <w:color w:val="000000"/>
          <w:sz w:val="18"/>
          <w:szCs w:val="18"/>
        </w:rPr>
        <w:t>khoản 1 Điều 19 Nghị định số 132/2020/NĐ-CP</w:t>
      </w:r>
      <w:bookmarkEnd w:id="12"/>
      <w:r w:rsidRPr="00CC56DD">
        <w:rPr>
          <w:rFonts w:ascii="Arial" w:eastAsia="Times New Roman" w:hAnsi="Arial" w:cs="Arial"/>
          <w:color w:val="000000"/>
          <w:sz w:val="18"/>
          <w:szCs w:val="18"/>
        </w:rPr>
        <w:t>, người nộp thuế chỉ đánh dấu vào ô tương ứng tại Cột (3) và không phải kê khai các mục III và IV Phụ lục I kèm theo Nghị định số 20/2025/NĐ-CP.</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Trường hợp người nộp thuế được miễn lập Hồ sơ xác định giá giao dịch liên kết theo quy định tại </w:t>
      </w:r>
      <w:bookmarkStart w:id="13" w:name="dc_16"/>
      <w:r w:rsidRPr="00CC56DD">
        <w:rPr>
          <w:rFonts w:ascii="Arial" w:eastAsia="Times New Roman" w:hAnsi="Arial" w:cs="Arial"/>
          <w:color w:val="000000"/>
          <w:sz w:val="18"/>
          <w:szCs w:val="18"/>
        </w:rPr>
        <w:t>điểm a hoặc điểm c khoản 2 Điều 19 Nghị định số 132/2020/NĐ-CP</w:t>
      </w:r>
      <w:bookmarkEnd w:id="13"/>
      <w:r w:rsidRPr="00CC56DD">
        <w:rPr>
          <w:rFonts w:ascii="Arial" w:eastAsia="Times New Roman" w:hAnsi="Arial" w:cs="Arial"/>
          <w:color w:val="000000"/>
          <w:sz w:val="18"/>
          <w:szCs w:val="18"/>
        </w:rPr>
        <w:t>, người nộp thuế kê khai các mục III và IV theo hướng dẫn tương ứng tại các phần Đ.1 và E.</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Trường hợp người nộp thuế được miễn lập Hồ sơ xác định giá giao dịch liên kết theo quy định tại </w:t>
      </w:r>
      <w:bookmarkStart w:id="14" w:name="dc_17"/>
      <w:r w:rsidRPr="00CC56DD">
        <w:rPr>
          <w:rFonts w:ascii="Arial" w:eastAsia="Times New Roman" w:hAnsi="Arial" w:cs="Arial"/>
          <w:color w:val="000000"/>
          <w:sz w:val="18"/>
          <w:szCs w:val="18"/>
        </w:rPr>
        <w:t>điểm b khoản 2 Điều 19 Nghị định số 132/2020/NĐ-CP</w:t>
      </w:r>
      <w:bookmarkEnd w:id="14"/>
      <w:r w:rsidRPr="00CC56DD">
        <w:rPr>
          <w:rFonts w:ascii="Arial" w:eastAsia="Times New Roman" w:hAnsi="Arial" w:cs="Arial"/>
          <w:color w:val="000000"/>
          <w:sz w:val="18"/>
          <w:szCs w:val="18"/>
        </w:rPr>
        <w:t>, người nộp thuế kê khai theo hướng dẫn tương ứng tại các phần Đ.2 và E.</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Đ. Mục III. Thông tin xác định giá giao dịch liên kết:</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Đ.1. Trường hợp người nộp thuế được miễn lập Hồ sơ xác định giá giao dịch liên kết theo quy định tại </w:t>
      </w:r>
      <w:bookmarkStart w:id="15" w:name="dc_18"/>
      <w:r w:rsidRPr="00CC56DD">
        <w:rPr>
          <w:rFonts w:ascii="Arial" w:eastAsia="Times New Roman" w:hAnsi="Arial" w:cs="Arial"/>
          <w:color w:val="000000"/>
          <w:sz w:val="18"/>
          <w:szCs w:val="18"/>
        </w:rPr>
        <w:t>điểm a hoặc điểm c khoản 2 Điều 19 Nghị định số 132/2020/NĐ-CP</w:t>
      </w:r>
      <w:bookmarkEnd w:id="15"/>
      <w:r w:rsidRPr="00CC56DD">
        <w:rPr>
          <w:rFonts w:ascii="Arial" w:eastAsia="Times New Roman" w:hAnsi="Arial" w:cs="Arial"/>
          <w:color w:val="000000"/>
          <w:sz w:val="18"/>
          <w:szCs w:val="18"/>
        </w:rPr>
        <w:t> và đã kê khai đánh dấu (x) vào cột 3 tại dòng a hoặc dòng c chỉ tiêu miễn lập Hồ sơ xác định giá giao dịch liên kết của Mục II Phụ lục I kèm theo Nghị định số 20/2025/NĐ-CP thực hiện kê khai mục này như sau:</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(7) và (12): Kê khai như hướng dẫn tại phần Đ.2 Phụ lục này.</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(4), (5), 6), (8), (9), (10) và (11): Người nộp thuế để trống không kê khai.</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Đối với trường hợp người nộp thuế được miễn lập Hồ sơ xác định giá giao dịch liên kết theo quy định tại </w:t>
      </w:r>
      <w:bookmarkStart w:id="16" w:name="dc_19"/>
      <w:r w:rsidRPr="00CC56DD">
        <w:rPr>
          <w:rFonts w:ascii="Arial" w:eastAsia="Times New Roman" w:hAnsi="Arial" w:cs="Arial"/>
          <w:color w:val="000000"/>
          <w:sz w:val="18"/>
          <w:szCs w:val="18"/>
        </w:rPr>
        <w:t>điểm a khoản 2 Điều 19 Nghị định số 132/2020/NĐ-CP</w:t>
      </w:r>
      <w:bookmarkEnd w:id="16"/>
      <w:r w:rsidRPr="00CC56DD">
        <w:rPr>
          <w:rFonts w:ascii="Arial" w:eastAsia="Times New Roman" w:hAnsi="Arial" w:cs="Arial"/>
          <w:color w:val="000000"/>
          <w:sz w:val="18"/>
          <w:szCs w:val="18"/>
        </w:rPr>
        <w:t>,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Đ.2. Người nộp thuế không thuộc trường hợp được miễn lập Hồ sơ xác định giá giao dịch liên kết tại </w:t>
      </w:r>
      <w:bookmarkStart w:id="17" w:name="dc_20"/>
      <w:r w:rsidRPr="00CC56DD">
        <w:rPr>
          <w:rFonts w:ascii="Arial" w:eastAsia="Times New Roman" w:hAnsi="Arial" w:cs="Arial"/>
          <w:color w:val="000000"/>
          <w:sz w:val="18"/>
          <w:szCs w:val="18"/>
        </w:rPr>
        <w:t>điểm a hoặc điểm c khoản 2 Điều 19 Nghị định số 132/2020/NĐ-CP</w:t>
      </w:r>
      <w:bookmarkEnd w:id="17"/>
      <w:r w:rsidRPr="00CC56DD">
        <w:rPr>
          <w:rFonts w:ascii="Arial" w:eastAsia="Times New Roman" w:hAnsi="Arial" w:cs="Arial"/>
          <w:color w:val="000000"/>
          <w:sz w:val="18"/>
          <w:szCs w:val="18"/>
        </w:rPr>
        <w:t> kê khai như sau:</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“Tổng giá trị giao dịch phát sinh từ hoạt động kinh doanh”:</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Ghi tổng giá trị doanh thu bán ra cho các bên liên kết và các bên độc lập, bao gồm: Doanh thu bán hàng và cung cấp dịch vụ, doanh thu hoạt động tài chính và thu nhập khác (không bao gồm các khoản thu hộ).</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(4), (5), (6), (8), (9), (10), (11), (12) và (13): Để trống không phải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“Tổng giá trị giao dịch phát sinh từ hoạt động liên kết”: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(7) và (8): Ghi tổng giá trị tại các ô tương ứng với từng chỉ tiêu Hàng hóa cộng (+) Dịch vụ.</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“Hàng hóa”:</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(7) và (8): Ghi tổng giá trị tại các ô tương ứng với các chỉ tiêu Hàng hóa hình thành tài sản cố định cộng (+) Hàng hóa không hình thành tài sản cố định.</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“Hàng hóa hình thành tài sản cố định” và các dòng chi tiết “Bên liên kết A”, “Bên liên kết B”,....:</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và (7): Ghi tổng giá trị phát sinh từ mua hoặc bán tài sản cố định của người nộp thuế với các bên liên kết theo giá trị tại sổ kế toán.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(4) và (8): Ghi tổng giá trị phát sinh từ mua hoặc bán tài sản cố định với các bên liên kết được xác định theo phương pháp xác định giá giao dịch liên kết tương ứng tại Cột (6) và (10).</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“Hàng hóa không hình thành tài sản cố định” và các dòng chi tiết “Bên liên kết A”, “Bên liên kết B”,....:</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và (7): Ghi tổng giá trị phát sinh từ mua hoặc bán hàng hoá không phải là tài sản cố định của người nộp thuế với các bên liên kết theo giá trị tại sổ kế toán.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(4) và (8): Ghi tổng giá trị phát sinh từ mua hoặc bán hàng hoá không phải là tài sản cố định của người nộp thuế với các bên liên kết được xác định theo phương pháp xác định giá giao dịch liên kết tương ứng tại Cột (6) và (10).</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“Dịch vụ”:</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Các chỉ tiêu “Nghiên cứu, phát triển”; “Quảng cáo, tiếp thị”; “Quản lý kinh doanh và tư vấn, đào tạo”; “Hoạt động tài chính và Dịch vụ khác”, và chi tiết theo từng “Bên liên kết A”, “Bên liên kết B”,...:</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và (7): Ghi tổng giá trị từng loại dịch vụ phát sinh từ giao dịch với các bên liên kết được ghi nhận theo giá trị ghi tại sổ kế toán.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(4) và (8): Ghi tổng giá trị từng loại dịch vụ phát sinh từ giao dịch với các bên liên kết được xác định theo phương pháp xác định giá giao dịch liên kết tương ứng tại Cột (6) và Cột (10).</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và (10): Ghi tương ứng với từng chỉ tiêu theo từng bên liên kết ký hiệu viết tắt tên phương pháp xác định giá giao dịch liên kết theo quy định tại </w:t>
      </w:r>
      <w:bookmarkStart w:id="18" w:name="dc_21"/>
      <w:r w:rsidRPr="00CC56DD">
        <w:rPr>
          <w:rFonts w:ascii="Arial" w:eastAsia="Times New Roman" w:hAnsi="Arial" w:cs="Arial"/>
          <w:color w:val="000000"/>
          <w:sz w:val="18"/>
          <w:szCs w:val="18"/>
        </w:rPr>
        <w:t>Điều 13, Điều 14, Điều 15 Nghị định số 132/2020/NĐ-CP</w:t>
      </w:r>
      <w:bookmarkEnd w:id="18"/>
      <w:r w:rsidRPr="00CC56DD">
        <w:rPr>
          <w:rFonts w:ascii="Arial" w:eastAsia="Times New Roman" w:hAnsi="Arial" w:cs="Arial"/>
          <w:color w:val="000000"/>
          <w:sz w:val="18"/>
          <w:szCs w:val="18"/>
        </w:rPr>
        <w:t> cấu thành giá trị bán ra cho bên liên kết và giá trị mua vào từ bên liên kết của người nộp thuế xác định theo Hồ sơ xác định giá giao dịch liên kết, cụ thể như sau:</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PP1: Phương pháp so sánh giá giao dịch liên kết với giá giao dịch độc lập (phương pháp so sánh giá giao dịch độc lập).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 PP2: Phương pháp so sánh tỷ suất lợi nhuận của người nộp thuế với tỷ suất lợi nhuận của các đối tượng so sánh độc lập.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PP2-1: Phương pháp so sánh tỷ suất lợi gộp trên doanh thu (phương pháp giá bán lại).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PP2-2: Phương pháp so sánh tỷ suất lợi gộp trên giá vốn (phương pháp giá vốn cộng lãi).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PP2-3: Phương pháp so sánh tỷ suất lợi nhuận thuần.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PP3: Phương pháp phân bổ lợi nhuận giữa các bên liên kết.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Ví dụ:</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Mua máy móc từ bên liên kết A trên cơ sở phương pháp so sánh giá giao dịch độc lập, tại dòng chỉ tiêu Hàng hóa hình thành tài sản cố định từ bên liên kết A Cột (10): Ghi PP1.</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Thu phí dịch vụ quản lý cung cấp cho bên liên kết B trên cơ sở phương pháp giá vốn cộng lãi, tại dòng chỉ tiêu Quản lý kinh doanh và tư vấn, đào tạo cho bên liên kết B Cột (6): Ghi PP2-2.</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(5) và (9): Ghi tổng giá trị được xác định theo công thức tính tại Phụ lục I ban hành kèm theo Nghị định số 20/2025/NĐ-CP.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(11): Ghi lợi nhuận tăng do xác định lại theo giá giao dịch độc lập.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(12): Ghi lần lượt tổng giá trị thu hộ, tổng giá trị chi hộ, tổng giá trị doanh thu phân bổ cho cơ sở thường trú, tổng giá trị chi phí phân bổ cho cơ sở thường trú phát sinh trong kỳ tính thuế.</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(13): Ghi theo hướng dẫn tại Phụ lục I ban hành kèm theo Nghị định số 20/2025/NĐ-CP tương ứng với từng giao dịch thuộc phạm vi áp dụng APA và để trống các ô tương ứng với các dòng chỉ tiêu ghi số liệu tổng giá trị.</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E. Mục IV. Kết quả sản xuất kinh doanh sau khi xác định giá giao dịch liên kết: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“Người nộp thuế đã ký thỏa thuận trước về phương pháp xác định giá tính thuế (APA)”:</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Người nộp thuế chỉ phát sinh các khoản thu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1. Dành cho người nộp thuế thuộc các ngành sản xuất, thương mại, dịch vụ:</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a) Trường hợp người nộp thuế đã kê khai đánh dấu (x) vào Cột 3 tại dòng 2a miễn lập Hồ sơ xác định giá giao dịch liên kết của Mục II Phụ lục I kèm theo Nghị định số 20/2025/NĐ-CP, thực hiện kê khai theo hướng dẫn như sau:</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Các chỉ tiêu tại dòng (1), (2), (3), (4), (5), (6), (7), (8), (8.1), (9), (9.1), (9.1.a), (9.1.b), (10), (11) và (12):</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giá trị được xác định từ số liệu tại Báo cáo tài chính.</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Các chỉ tiêu tại dòng (13), (14), (15), (15.1), (15.2), (15.3), (15.4), (15.5) và (16) xác định và tính toán theo quy định tại </w:t>
      </w:r>
      <w:bookmarkStart w:id="19" w:name="dc_22"/>
      <w:r w:rsidRPr="00CC56DD">
        <w:rPr>
          <w:rFonts w:ascii="Arial" w:eastAsia="Times New Roman" w:hAnsi="Arial" w:cs="Arial"/>
          <w:color w:val="000000"/>
          <w:sz w:val="18"/>
          <w:szCs w:val="18"/>
        </w:rPr>
        <w:t>điểm a, điểm b khoản 3 Điều 16 Nghị định số 132/2020/NĐ-CP</w:t>
      </w:r>
      <w:bookmarkEnd w:id="19"/>
      <w:r w:rsidRPr="00CC56DD">
        <w:rPr>
          <w:rFonts w:ascii="Arial" w:eastAsia="Times New Roman" w:hAnsi="Arial" w:cs="Arial"/>
          <w:color w:val="000000"/>
          <w:sz w:val="18"/>
          <w:szCs w:val="18"/>
        </w:rPr>
        <w: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tại dòng (17):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 Trường hợp người nộp thuế đã kê khai đánh dấu (x) vào Cột 3 tại dòng 2c miễn lập Hồ sơ xác định giá giao dịch liên kết của Mục II Phụ lục I kèm theo Nghị định số 20/2025/NĐ-CP, thực hiện kê khai theo hướng dẫn như sau:</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Các chỉ tiêu tại dòng (1), (2), (3), (4), (5), (6), (7), (8), (8.1), (9), (9.1), (9.1.a), (9.1.b), (10), (11) và (12):</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giá trị được xác định từ số liệu tại Báo cáo tài chính.</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 Các chỉ tiêu tại dòng (13), (14), (15), (15.1), (15.2), (15.3), (15.4), (15.5) và (16) xác định và tính toán theo quy định tại </w:t>
      </w:r>
      <w:bookmarkStart w:id="20" w:name="dc_23"/>
      <w:r w:rsidRPr="00CC56DD">
        <w:rPr>
          <w:rFonts w:ascii="Arial" w:eastAsia="Times New Roman" w:hAnsi="Arial" w:cs="Arial"/>
          <w:color w:val="000000"/>
          <w:sz w:val="18"/>
          <w:szCs w:val="18"/>
        </w:rPr>
        <w:t>điểm a, điểm b khoản 3 Điều 16 Nghị định số 132/2020/NĐ-CP</w:t>
      </w:r>
      <w:bookmarkEnd w:id="20"/>
      <w:r w:rsidRPr="00CC56DD">
        <w:rPr>
          <w:rFonts w:ascii="Arial" w:eastAsia="Times New Roman" w:hAnsi="Arial" w:cs="Arial"/>
          <w:color w:val="000000"/>
          <w:sz w:val="18"/>
          <w:szCs w:val="18"/>
        </w:rPr>
        <w: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“Tỷ suất lợi nhuận sử dụng xác định giá giao dịch liên kết”</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w:t>
      </w:r>
      <w:bookmarkStart w:id="21" w:name="dc_24"/>
      <w:r w:rsidRPr="00CC56DD">
        <w:rPr>
          <w:rFonts w:ascii="Arial" w:eastAsia="Times New Roman" w:hAnsi="Arial" w:cs="Arial"/>
          <w:color w:val="000000"/>
          <w:sz w:val="18"/>
          <w:szCs w:val="18"/>
        </w:rPr>
        <w:t>điểm c khoản 2 Điều 19 Nghị định số 132/2020/NĐ-CP</w:t>
      </w:r>
      <w:bookmarkEnd w:id="21"/>
      <w:r w:rsidRPr="00CC56DD">
        <w:rPr>
          <w:rFonts w:ascii="Arial" w:eastAsia="Times New Roman" w:hAnsi="Arial" w:cs="Arial"/>
          <w:color w:val="000000"/>
          <w:sz w:val="18"/>
          <w:szCs w:val="18"/>
        </w:rPr>
        <w: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Người nộp thuế kê khai giá trị Lợi nhuận thuần từ hoạt động sản xuất kinh doanh trong kỳ không bao gồm chênh lệch doanh thu và chi phí của hoạt động tài chính trên doanh thu thuần đối với lĩnh vực hoạt động theo quy định tại </w:t>
      </w:r>
      <w:bookmarkStart w:id="22" w:name="dc_25"/>
      <w:r w:rsidRPr="00CC56DD">
        <w:rPr>
          <w:rFonts w:ascii="Arial" w:eastAsia="Times New Roman" w:hAnsi="Arial" w:cs="Arial"/>
          <w:color w:val="000000"/>
          <w:sz w:val="18"/>
          <w:szCs w:val="18"/>
        </w:rPr>
        <w:t>điểm c khoản 2 Điều 19 Nghị định số 132/2020/NĐ-CP</w:t>
      </w:r>
      <w:bookmarkEnd w:id="22"/>
      <w:r w:rsidRPr="00CC56DD">
        <w:rPr>
          <w:rFonts w:ascii="Arial" w:eastAsia="Times New Roman" w:hAnsi="Arial" w:cs="Arial"/>
          <w:color w:val="000000"/>
          <w:sz w:val="18"/>
          <w:szCs w:val="18"/>
        </w:rPr>
        <w: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Trường hợp người nộp thuế thực hiện kinh doanh nhiều hơn một lĩnh vực, theo dõi, hạch toán riêng doanh thu, chi phí của từng lĩnh vực hoặc theo dõi, hạch toán riêng được doanh thu nhưng không theo dõi, hạch toán riêng được chi phí phát sinh của từng lĩnh vực thực hiện kê khai riêng theo từng lĩnh vực.</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Trường hợp người nộp thuế thực hiện kinh doanh nhiều hơn một lĩnh vực không theo dõi, hạch toán riêng được doanh thu và chi phí của từng lĩnh vực thực hiện kê khai theo lĩnh vực có tỷ suất cao nhất.</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 Trường hợp người nộp thuế không được miễn lập Hồ sơ xác định giá giao dịch liên kết theo quy định tại </w:t>
      </w:r>
      <w:bookmarkStart w:id="23" w:name="dc_26"/>
      <w:r w:rsidRPr="00CC56DD">
        <w:rPr>
          <w:rFonts w:ascii="Arial" w:eastAsia="Times New Roman" w:hAnsi="Arial" w:cs="Arial"/>
          <w:color w:val="000000"/>
          <w:sz w:val="18"/>
          <w:szCs w:val="18"/>
        </w:rPr>
        <w:t>điểm a hoặc điểm c khoản 2 Điều 19 Nghị định số 132/2020/NĐ-CP</w:t>
      </w:r>
      <w:bookmarkEnd w:id="23"/>
      <w:r w:rsidRPr="00CC56DD">
        <w:rPr>
          <w:rFonts w:ascii="Arial" w:eastAsia="Times New Roman" w:hAnsi="Arial" w:cs="Arial"/>
          <w:color w:val="000000"/>
          <w:sz w:val="18"/>
          <w:szCs w:val="18"/>
        </w:rPr>
        <w:t>, kê khai như sau:</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“Doanh thu bán hàng và cung cấp dịch vụ”:</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và (4): Ghi tổng giá trị của các giao dịch cung cấp hàng hóa, dịch vụ cho các bên liên kết xác định giá theo Hồ sơ xác định giá giao dịch liên kết tại Cột (3) và theo APA tại Cột (4).</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(5): Ghi tổng giá trị của các giao dịch cung cấp hàng hóa, dịch vụ cho các bên độc lập theo giá trị ghi tại sổ kế toán.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Các chỉ tiêu “Doanh thu bán hàng hoá, dịch vụ xuất khẩu” và “Các khoản giảm trừ doanh thu”: Người nộp thuế kê khai tương ứng doanh thu bán hàng hoá và cung cấp dịch vụ và ghi theo hướng dẫn tương tự tại chỉ tiêu “Doanh thu bán hàng và cung cấp dịch vụ”.</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“Doanh thu thuần về bán hàng và cung cấp dịch vụ”:</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(5) và (6): Ghi giá trị bằng giá trị tương ứng theo từng cột tại chỉ tiêu “Doanh thu bán hàng và cung cấp dịch vụ” trừ (-) chỉ tiêu “Các khoản giảm trừ doanh thu”.</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“Giá vốn hàng bán”: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“Lợi nhuận gộp về bán hàng và cung cấp dịch vụ”:</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(5) và (6) có giá trị bằng giá trị tương ứng theo từng cột tại chỉ tiêu “Doanh thu thuần về bán hàng và cung cấp dịch vụ” trừ (-) chỉ tiêu “Giá vốn hàng bán”.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Các chỉ tiêu “Chi phí bán hàng” và “Chi phí quản lý doanh nghiệp”: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“Doanh thu hoạt động tài chính”:</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tổng giá trị doanh thu hoạt động tài chính.</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“Lãi tiền gửi và lãi cho vay”: Ghi giá trị tiền lãi thu được từ hoạt động cho vay tính vào doanh thu hoạt động tài chính trong kỳ.</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“Chi phí tài chính”:</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tổng giá trị chi phí hoạt động tài chính.</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“Chi phí lãi tiền vay dùng cho hoạt động sản xuất, kinh doanh”: Ghi giá trị chi phí lãi vay tính vào chi phí tài chính trong kỳ.</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“Chi phí khấu hao phát sinh trong kỳ”:</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tổng giá trị chi phí khấu hao đã tính vào chi phí trong kỳ và được xác định bằng tổng giá trị chi phí khấu hao đã tính vào giá vốn hàng bán, chi phí bán hàng và chi phí quản lý doanh nghiệp.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“Lợi nhuận thuần từ hoạt động sản xuất kinh doanh trong kỳ”:</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“Lợi nhuận thuần từ hoạt động sản xuất kinh doanh trong kỳ không bao gồm chênh lệch doanh thu và chi phí của hoạt động tài chính”:</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(5) và (6): Ghi giá trị bằng giá trị tương ứng theo từng cột tại chỉ tiêu “Lợi nhuận gộp về bán hàng và cung cấp dịch vụ” trừ (-) chỉ tiêu “Chi phí bán hàng” trừ (-) chỉ tiêu “Chi phí quản lý doanh nghiệp”.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 Chỉ tiêu “Tổng lợi nhuận thuần từ hoạt động kinh doanh cộng chi phí lãi vay sau khi trừ lãi tiền gửi và lãi cho vay trong kỳ cộng chi phí khấu hao trong kỳ”:</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giá trị bằng giá trị chỉ tiêu “Lợi nhuận thuần từ hoạt động sản xuất kinh doanh” cộng (+) chỉ tiêu “Chi phí lãi vay” trừ (-) chỉ tiêu “Lãi tiền gửi và lãi cho vay” cộng (+) chỉ tiêu “Chi phí khấu hao”.</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tiền gửi và lãi cho vay trong kỳ cộng chi phí khấu hao trong kỳ”.</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“Tỷ suất lợi nhuận sử dụng xác định giá giao dịch liên kết”:</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(2): Ghi các tỷ suất lợi nhuận áp dụng để điều chỉnh, xác định giá giao dịch liên kết tại các dòng chỉ tiêu (17.1), (17.2), (17.3),... tương ứng với phương pháp xác định giá giao dịch liên kết theo quy định tại </w:t>
      </w:r>
      <w:bookmarkStart w:id="24" w:name="dc_27"/>
      <w:r w:rsidRPr="00CC56DD">
        <w:rPr>
          <w:rFonts w:ascii="Arial" w:eastAsia="Times New Roman" w:hAnsi="Arial" w:cs="Arial"/>
          <w:color w:val="000000"/>
          <w:sz w:val="18"/>
          <w:szCs w:val="18"/>
        </w:rPr>
        <w:t>Điều 13, Điều 14, Điều 15 Nghị định số 132/2020/NĐ-CP</w:t>
      </w:r>
      <w:bookmarkEnd w:id="24"/>
      <w:r w:rsidRPr="00CC56DD">
        <w:rPr>
          <w:rFonts w:ascii="Arial" w:eastAsia="Times New Roman" w:hAnsi="Arial" w:cs="Arial"/>
          <w:color w:val="000000"/>
          <w:sz w:val="18"/>
          <w:szCs w:val="18"/>
        </w:rPr>
        <w: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và (4): Ghi giá trị tỷ suất lợi nhuận sử dụng xác định giá giao dịch liên kết theo Hồ sơ xác định giá giao dịch liên kết tại Cột (3) và theo APA tại Cột (4).</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(5) và (6):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Ví dụ:</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 (17.2) và kê khai tỷ suất tương ứng tại Cột (4).</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2. Dành cho người nộp thuế thuộc các ngành ngân hàng, tín dụng:</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“Thu nhập lãi và các khoản thu nhập tương tự”:</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“Chi phí lãi và các khoản chi phí tương tự”:</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“Thu nhập lãi thuần”: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Cột (3), (4), (5) và (6): Ghi giá trị bằng (=) giá trị tương ứng theo từng cột tại chỉ tiêu Thu nhập lãi và các khoản thu nhập tương tự trừ (-) chỉ tiêu Chi trả lãi và các khoản chi phí tương tự.</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“Thu nhập từ hoạt động dịch vụ”: Ghi theo hướng dẫn tương tự tại chỉ tiêu Thu nhập lãi và các khoản thu nhập tương tự.</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“Chi phí hoạt động dịch vụ”: Ghi theo hướng dẫn tương tự tại chỉ tiêu Chi trả lãi và các khoản chi phí tương tự.</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“Lãi/lỗ thuần từ hoạt động dịch vụ”:</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Cột (3), (4), (5) và (6): Ghi giá trị bằng (=) giá trị tương ứng theo từng cột tại chỉ tiêu “Thu nhập từ hoạt động dịch vụ” trừ (-) chỉ tiêu “Chi phí hoạt động dịch vụ”.</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“Thu nhập từ hoạt động khác”: Ghi theo hướng dẫn tương tự tại chỉ tiêu “Thu nhập lãi và các khoản thu nhập tương tự”.</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“Chi phí hoạt động khác”: Ghi theo hướng dẫn tương tự tại chỉ tiêu Chi trả lãi và các khoản chi phí tương tự.</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“Lãi/lỗ thuần từ hoạt động khác”:</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Cột (3), (4), (5) và (6): Ghi giá trị bằng (=) giá trị tương ứng theo từng cột tại chỉ tiêu “Thu nhập từ hoạt động khác” trừ (-) chỉ tiêu “Chi phí hoạt động khác”.</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“Thu nhập từ góp vốn, mua cổ phần”: Ghi theo hướng dẫn tương tự tại chỉ tiêu “Thu nhập lãi và các khoản thu nhập tương tự”.</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“Chi phí hoạt động”: Ghi theo hướng dẫn tương tự tại chỉ tiêu “Chi trả lãi và các khoản chi phí tương tự”.</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“Chi phí dự phòng rủi ro tín dụng”:</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Ghi tổng giá trị chi phí dự phòng rủi ro tín dụng tương ứng với thu nhập và các khoản thu có tính chất là doanh thu tại Cột (3), (4) và (5) được trích lập dự phòng.</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Đối với các chỉ tiêu chi phí phát sinh trong hoạt động kinh doanh, người nộp thuế hạch toán, xác định riêng tương ứng với từng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“Tổng lợi nhuận trước thuế”: Phản ánh tổng số lợi nhuận thực hiện trước thuế của tổ chức ngân hàng, tín dụng trong kỳ tính thuế và được xác định như sau:</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“Lợi nhuận thuần từ hoạt động sản xuất kinh doanh”:</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(5) và (6): Ghi giá trị bằng giá trị tương ứng theo từng cột tại chỉ tiêu “Tổng lợi nhuận trước thuế” trừ (-) chỉ tiêu “Lãi/lỗ thuần từ hoạt động khác”.</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“Tỷ suất lợi nhuận sử dụng xác định giá giao dịch liên kết”:</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(2): Ghi các tỷ suất lợi nhuận áp dụng để điều chỉnh, xác định giá giao dịch liên kết tại các dòng chỉ tiêu (18.1), (18.2), (18.3) ... tương ứng với phương pháp xác định giá giao dịch liên kết theo quy định tại </w:t>
      </w:r>
      <w:bookmarkStart w:id="25" w:name="dc_28"/>
      <w:r w:rsidRPr="00CC56DD">
        <w:rPr>
          <w:rFonts w:ascii="Arial" w:eastAsia="Times New Roman" w:hAnsi="Arial" w:cs="Arial"/>
          <w:color w:val="000000"/>
          <w:sz w:val="18"/>
          <w:szCs w:val="18"/>
        </w:rPr>
        <w:t>Điều 13, Điều 14, Điều 15 Nghị định số 132/2020/NĐ-CP</w:t>
      </w:r>
      <w:bookmarkEnd w:id="25"/>
      <w:r w:rsidRPr="00CC56DD">
        <w:rPr>
          <w:rFonts w:ascii="Arial" w:eastAsia="Times New Roman" w:hAnsi="Arial" w:cs="Arial"/>
          <w:color w:val="000000"/>
          <w:sz w:val="18"/>
          <w:szCs w:val="18"/>
        </w:rPr>
        <w: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và (4): Ghi giá trị tỷ suất lợi nhuận áp dụng xác định giá giao dịch liên kết theo Hồ sơ xác định giá giao dịch liên kết tại Cột (3) và theo APA tại Cột (4).</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(5) và (6):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3. Dành cho người nộp thuế là các công ty chứng khoán:</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a) Trường hợp người nộp thuế đã kê khai đánh dấu (x) vào Cột 3 tại dòng 2a Mục II Phụ lục I kèm theo Nghị định số 20/2025/NĐ-CP, thực hiện kê khai theo hướng dẫn như sau:</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Các chỉ tiêu tại dòng (1.1.a), (1.1.b), (1.1.c), (1.2), (1.3), (1.4), (1.5), (1.6), (1.7), (1.8), (1.9), (1.10), (1.11), (2.1.a), (2.1.b), (2.1.c), (2.2), (2.3), (2.4), (2.5), (2.6), (2.7), (2.8), (2.9), (2.10), (2.11), (2.12), (3.1), (3.2), (3.3), (3.4), (4.1), (4.2), (4.3), (4.4), (4.5), (5), (6), (7), và (10):</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giá trị được xác định từ số liệu tại Báo cáo tài chính.</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tại dòng (15): Người nộp thuế để trống không kê khai.</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b) Trường hợp người nộp thuế không được miễn lập Hồ sơ xác định giá giao dịch liên kết theo quy định tại </w:t>
      </w:r>
      <w:bookmarkStart w:id="26" w:name="dc_29"/>
      <w:r w:rsidRPr="00CC56DD">
        <w:rPr>
          <w:rFonts w:ascii="Arial" w:eastAsia="Times New Roman" w:hAnsi="Arial" w:cs="Arial"/>
          <w:color w:val="000000"/>
          <w:sz w:val="18"/>
          <w:szCs w:val="18"/>
        </w:rPr>
        <w:t>điểm a khoản 2 Điều 19 Nghị định số 132/2020/NĐ-CP</w:t>
      </w:r>
      <w:bookmarkEnd w:id="26"/>
      <w:r w:rsidRPr="00CC56DD">
        <w:rPr>
          <w:rFonts w:ascii="Arial" w:eastAsia="Times New Roman" w:hAnsi="Arial" w:cs="Arial"/>
          <w:color w:val="000000"/>
          <w:sz w:val="18"/>
          <w:szCs w:val="18"/>
        </w:rPr>
        <w:t>, kê khai như sau:</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Các chỉ tiêu tại dòng (1.1.a), (1.1.b), (1.1.c), (1.2), (1.3), (1.4), (1.5), (1.6), (1.7), (1.8), (1.9), (1.10), (1.11), (2.1.a), (2.1.b), (2.1.c), (2.2), (2.3), (2.4), (2.5), (2.6), (2.7), (2.8), (2.9), (2.10), (2.11), (2.12), (3.1), (3.2), (3.3), (3.4), (4.1), (4.2), (4.3), (4.4), (4.5), (5), (6) và (10):</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“Tổng lợi nhuận thuần từ hoạt động kinh doanh trong kỳ cộng chi phí lãi vay sau khi trừ lãi tiền gửi và lãi cho vay phát sinh trong kỳ cộng chi phí khấu hao phát sinh trong kỳ”:</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lastRenderedPageBreak/>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(4) và (5):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(6): Ghi giá trị tỷ lệ phần trăm bằng (=) giá trị (chỉ tiêu “Tổng Chi phí lãi tiền vay” trừ (-) chỉ tiêu “Tổng lãi tiền gửi và lãi cho vay”] chia (:) giá trị chỉ tiêu “Lợi nhuận thuần từ hoạt động kinh doanh cộng chi phí lãi vay cộng chi phí khấu hao phát sinh trong kỳ”.</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Chỉ tiêu “Tỷ suất lợi nhuận sử dụng xác định giá giao dịch liên kết”:</w:t>
      </w:r>
    </w:p>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(2): Ghi các tỷ suất lợi nhuận áp dụng để điều chỉnh, xác định giá giao dịch liên kết tại các dòng chỉ tiêu (15.1), (15.2) (15.3), ... tương ứng với phương pháp xác định giá giao dịch liên kết theo quy định tại </w:t>
      </w:r>
      <w:bookmarkStart w:id="27" w:name="dc_30"/>
      <w:r w:rsidRPr="00CC56DD">
        <w:rPr>
          <w:rFonts w:ascii="Arial" w:eastAsia="Times New Roman" w:hAnsi="Arial" w:cs="Arial"/>
          <w:color w:val="000000"/>
          <w:sz w:val="18"/>
          <w:szCs w:val="18"/>
        </w:rPr>
        <w:t>khoản 2 và 3 Điều 13, Điều 14, Điều 15 Nghị định số 132/2020/NĐ-CP</w:t>
      </w:r>
      <w:bookmarkEnd w:id="27"/>
      <w:r w:rsidRPr="00CC56DD">
        <w:rPr>
          <w:rFonts w:ascii="Arial" w:eastAsia="Times New Roman" w:hAnsi="Arial" w:cs="Arial"/>
          <w:color w:val="000000"/>
          <w:sz w:val="18"/>
          <w:szCs w:val="18"/>
        </w:rPr>
        <w:t>.</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(3) và (4): Ghi giá trị tỷ suất lợi nhuận áp dụng xác định giá giao dịch liên kết theo Hồ sơ xác định giá giao dịch liên kết tại Cột (3) và theo APA tại Cột (4).</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t>+ Cột (5) và (6): Người nộp thuế để trống không kê khai.</w:t>
      </w:r>
    </w:p>
    <w:p w:rsidR="00CC56DD" w:rsidRPr="00CC56DD" w:rsidRDefault="00CC56DD" w:rsidP="00CC56DD">
      <w:pPr>
        <w:shd w:val="clear" w:color="auto" w:fill="FFFFFF"/>
        <w:spacing w:before="120" w:after="120" w:line="234" w:lineRule="atLeast"/>
        <w:rPr>
          <w:rFonts w:ascii="Arial" w:eastAsia="Times New Roman" w:hAnsi="Arial" w:cs="Arial"/>
          <w:color w:val="000000"/>
          <w:sz w:val="18"/>
          <w:szCs w:val="18"/>
        </w:rPr>
      </w:pPr>
      <w:r w:rsidRPr="00CC56DD">
        <w:rPr>
          <w:rFonts w:ascii="Times New Roman" w:eastAsia="Times New Roman" w:hAnsi="Times New Roman" w:cs="Times New Roman"/>
          <w:color w:val="000000"/>
          <w:sz w:val="24"/>
          <w:szCs w:val="24"/>
        </w:rPr>
        <w:br w:type="textWrapping" w:clear="all"/>
      </w:r>
    </w:p>
    <w:p w:rsidR="00CC56DD" w:rsidRPr="00CC56DD" w:rsidRDefault="00CC56DD" w:rsidP="00CC56DD">
      <w:pPr>
        <w:shd w:val="clear" w:color="auto" w:fill="FFFFFF"/>
        <w:spacing w:after="0" w:line="240" w:lineRule="auto"/>
        <w:rPr>
          <w:rFonts w:ascii="Times New Roman" w:eastAsia="Times New Roman" w:hAnsi="Times New Roman" w:cs="Times New Roman"/>
          <w:color w:val="000000"/>
          <w:sz w:val="24"/>
          <w:szCs w:val="24"/>
        </w:rPr>
      </w:pPr>
      <w:r w:rsidRPr="00CC56DD">
        <w:rPr>
          <w:rFonts w:ascii="Times New Roman" w:eastAsia="Times New Roman" w:hAnsi="Times New Roman" w:cs="Times New Roman"/>
          <w:color w:val="000000"/>
          <w:sz w:val="24"/>
          <w:szCs w:val="24"/>
        </w:rPr>
        <w:pict>
          <v:rect id="_x0000_i1025" style="width:154.45pt;height:.75pt" o:hrpct="330" o:hrstd="t" o:hr="t" fillcolor="#a0a0a0" stroked="f"/>
        </w:pict>
      </w:r>
    </w:p>
    <w:bookmarkStart w:id="28" w:name="_ftn1"/>
    <w:bookmarkEnd w:id="28"/>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fldChar w:fldCharType="begin"/>
      </w:r>
      <w:r w:rsidRPr="00CC56DD">
        <w:rPr>
          <w:rFonts w:ascii="Arial" w:eastAsia="Times New Roman" w:hAnsi="Arial" w:cs="Arial"/>
          <w:color w:val="000000"/>
          <w:sz w:val="18"/>
          <w:szCs w:val="18"/>
        </w:rPr>
        <w:instrText xml:space="preserve"> HYPERLINK "https://thuvienphapluat.vn/van-ban/Doanh-nghiep/Nghi-dinh-20-2025-ND-CP-sua-doi-Nghi-dinh-132-2020-ND-%d0%a1%d0%a0-quan-ly-thue-doanh-nghiep-co-giao-dich-lien-ket-642785.aspx" \l "_ftnref1" </w:instrText>
      </w:r>
      <w:r w:rsidRPr="00CC56DD">
        <w:rPr>
          <w:rFonts w:ascii="Arial" w:eastAsia="Times New Roman" w:hAnsi="Arial" w:cs="Arial"/>
          <w:color w:val="000000"/>
          <w:sz w:val="18"/>
          <w:szCs w:val="18"/>
        </w:rPr>
        <w:fldChar w:fldCharType="separate"/>
      </w:r>
      <w:r w:rsidRPr="00CC56DD">
        <w:rPr>
          <w:rFonts w:ascii="Arial" w:eastAsia="Times New Roman" w:hAnsi="Arial" w:cs="Arial"/>
          <w:color w:val="000000"/>
          <w:sz w:val="18"/>
          <w:szCs w:val="18"/>
        </w:rPr>
        <w:t>[1]</w:t>
      </w:r>
      <w:r w:rsidRPr="00CC56DD">
        <w:rPr>
          <w:rFonts w:ascii="Arial" w:eastAsia="Times New Roman" w:hAnsi="Arial" w:cs="Arial"/>
          <w:color w:val="000000"/>
          <w:sz w:val="18"/>
          <w:szCs w:val="18"/>
        </w:rPr>
        <w:fldChar w:fldCharType="end"/>
      </w:r>
      <w:r w:rsidRPr="00CC56DD">
        <w:rPr>
          <w:rFonts w:ascii="Arial" w:eastAsia="Times New Roman" w:hAnsi="Arial" w:cs="Arial"/>
          <w:color w:val="000000"/>
          <w:sz w:val="18"/>
          <w:szCs w:val="18"/>
        </w:rPr>
        <w:t> Người nộp thuế đánh dấu “x” vào cột hình thức quan hệ liên kết kê khai theo quy định tại khoản 2 Điều 5 Nghị định số </w:t>
      </w:r>
      <w:hyperlink r:id="rId4" w:tgtFrame="_blank" w:tooltip="Nghị định 132/2020/NĐ-CP" w:history="1">
        <w:r w:rsidRPr="00CC56DD">
          <w:rPr>
            <w:rFonts w:ascii="Arial" w:eastAsia="Times New Roman" w:hAnsi="Arial" w:cs="Arial"/>
            <w:color w:val="0E70C3"/>
            <w:sz w:val="18"/>
            <w:szCs w:val="18"/>
          </w:rPr>
          <w:t>132/2020/NĐ-CP</w:t>
        </w:r>
      </w:hyperlink>
      <w:r w:rsidRPr="00CC56DD">
        <w:rPr>
          <w:rFonts w:ascii="Arial" w:eastAsia="Times New Roman" w:hAnsi="Arial" w:cs="Arial"/>
          <w:color w:val="000000"/>
          <w:sz w:val="18"/>
          <w:szCs w:val="18"/>
        </w:rPr>
        <w:t> ngày 05 tháng 11 năm 2020 của Chính phủ được và Điều 1 Nghị định số 20/2025/NĐ-CP ngày 10 tháng 02 năm 2025 của Chính phủ. Trường hợp bên liên kết thuộc nhiều hơn một hình thức quan hệ liên kết, người nộp thuế đánh dấu “x” vào các ô tương ứng.</w:t>
      </w:r>
    </w:p>
    <w:bookmarkStart w:id="29" w:name="_ftn2"/>
    <w:bookmarkEnd w:id="29"/>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fldChar w:fldCharType="begin"/>
      </w:r>
      <w:r w:rsidRPr="00CC56DD">
        <w:rPr>
          <w:rFonts w:ascii="Arial" w:eastAsia="Times New Roman" w:hAnsi="Arial" w:cs="Arial"/>
          <w:color w:val="000000"/>
          <w:sz w:val="18"/>
          <w:szCs w:val="18"/>
        </w:rPr>
        <w:instrText xml:space="preserve"> HYPERLINK "https://thuvienphapluat.vn/van-ban/Doanh-nghiep/Nghi-dinh-20-2025-ND-CP-sua-doi-Nghi-dinh-132-2020-ND-%d0%a1%d0%a0-quan-ly-thue-doanh-nghiep-co-giao-dich-lien-ket-642785.aspx" \l "_ftnref2" </w:instrText>
      </w:r>
      <w:r w:rsidRPr="00CC56DD">
        <w:rPr>
          <w:rFonts w:ascii="Arial" w:eastAsia="Times New Roman" w:hAnsi="Arial" w:cs="Arial"/>
          <w:color w:val="000000"/>
          <w:sz w:val="18"/>
          <w:szCs w:val="18"/>
        </w:rPr>
        <w:fldChar w:fldCharType="separate"/>
      </w:r>
      <w:r w:rsidRPr="00CC56DD">
        <w:rPr>
          <w:rFonts w:ascii="Arial" w:eastAsia="Times New Roman" w:hAnsi="Arial" w:cs="Arial"/>
          <w:color w:val="000000"/>
          <w:sz w:val="18"/>
          <w:szCs w:val="18"/>
        </w:rPr>
        <w:t>[2]</w:t>
      </w:r>
      <w:r w:rsidRPr="00CC56DD">
        <w:rPr>
          <w:rFonts w:ascii="Arial" w:eastAsia="Times New Roman" w:hAnsi="Arial" w:cs="Arial"/>
          <w:color w:val="000000"/>
          <w:sz w:val="18"/>
          <w:szCs w:val="18"/>
        </w:rPr>
        <w:fldChar w:fldCharType="end"/>
      </w:r>
      <w:r w:rsidRPr="00CC56DD">
        <w:rPr>
          <w:rFonts w:ascii="Arial" w:eastAsia="Times New Roman" w:hAnsi="Arial" w:cs="Arial"/>
          <w:color w:val="000000"/>
          <w:sz w:val="18"/>
          <w:szCs w:val="18"/>
        </w:rPr>
        <w:t> Người nộp thuế đánh dấu “x” vào dòng trường hợp miễn trừ áp dụng tương ứng.</w:t>
      </w:r>
    </w:p>
    <w:bookmarkStart w:id="30" w:name="_ftn3"/>
    <w:bookmarkEnd w:id="30"/>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fldChar w:fldCharType="begin"/>
      </w:r>
      <w:r w:rsidRPr="00CC56DD">
        <w:rPr>
          <w:rFonts w:ascii="Arial" w:eastAsia="Times New Roman" w:hAnsi="Arial" w:cs="Arial"/>
          <w:color w:val="000000"/>
          <w:sz w:val="18"/>
          <w:szCs w:val="18"/>
        </w:rPr>
        <w:instrText xml:space="preserve"> HYPERLINK "https://thuvienphapluat.vn/van-ban/Doanh-nghiep/Nghi-dinh-20-2025-ND-CP-sua-doi-Nghi-dinh-132-2020-ND-%d0%a1%d0%a0-quan-ly-thue-doanh-nghiep-co-giao-dich-lien-ket-642785.aspx" \l "_ftnref3" </w:instrText>
      </w:r>
      <w:r w:rsidRPr="00CC56DD">
        <w:rPr>
          <w:rFonts w:ascii="Arial" w:eastAsia="Times New Roman" w:hAnsi="Arial" w:cs="Arial"/>
          <w:color w:val="000000"/>
          <w:sz w:val="18"/>
          <w:szCs w:val="18"/>
        </w:rPr>
        <w:fldChar w:fldCharType="separate"/>
      </w:r>
      <w:r w:rsidRPr="00CC56DD">
        <w:rPr>
          <w:rFonts w:ascii="Arial" w:eastAsia="Times New Roman" w:hAnsi="Arial" w:cs="Arial"/>
          <w:color w:val="000000"/>
          <w:sz w:val="18"/>
          <w:szCs w:val="18"/>
        </w:rPr>
        <w:t>[3]</w:t>
      </w:r>
      <w:r w:rsidRPr="00CC56DD">
        <w:rPr>
          <w:rFonts w:ascii="Arial" w:eastAsia="Times New Roman" w:hAnsi="Arial" w:cs="Arial"/>
          <w:color w:val="000000"/>
          <w:sz w:val="18"/>
          <w:szCs w:val="18"/>
        </w:rPr>
        <w:fldChar w:fldCharType="end"/>
      </w:r>
      <w:r w:rsidRPr="00CC56DD">
        <w:rPr>
          <w:rFonts w:ascii="Arial" w:eastAsia="Times New Roman" w:hAnsi="Arial" w:cs="Arial"/>
          <w:color w:val="000000"/>
          <w:sz w:val="18"/>
          <w:szCs w:val="18"/>
        </w:rPr>
        <w:t> Giá trị phân bổ cho cơ sở thường trú cần kê khai và chú thích rõ là phân bổ doanh thu hay chi phí cho cơ sở thường trú.</w:t>
      </w:r>
    </w:p>
    <w:bookmarkStart w:id="31" w:name="_ftn4"/>
    <w:bookmarkEnd w:id="31"/>
    <w:p w:rsidR="00CC56DD" w:rsidRPr="00CC56DD" w:rsidRDefault="00CC56DD" w:rsidP="00CC56DD">
      <w:pPr>
        <w:shd w:val="clear" w:color="auto" w:fill="FFFFFF"/>
        <w:spacing w:after="0" w:line="234" w:lineRule="atLeast"/>
        <w:rPr>
          <w:rFonts w:ascii="Arial" w:eastAsia="Times New Roman" w:hAnsi="Arial" w:cs="Arial"/>
          <w:color w:val="000000"/>
          <w:sz w:val="18"/>
          <w:szCs w:val="18"/>
        </w:rPr>
      </w:pPr>
      <w:r w:rsidRPr="00CC56DD">
        <w:rPr>
          <w:rFonts w:ascii="Arial" w:eastAsia="Times New Roman" w:hAnsi="Arial" w:cs="Arial"/>
          <w:color w:val="000000"/>
          <w:sz w:val="18"/>
          <w:szCs w:val="18"/>
        </w:rPr>
        <w:fldChar w:fldCharType="begin"/>
      </w:r>
      <w:r w:rsidRPr="00CC56DD">
        <w:rPr>
          <w:rFonts w:ascii="Arial" w:eastAsia="Times New Roman" w:hAnsi="Arial" w:cs="Arial"/>
          <w:color w:val="000000"/>
          <w:sz w:val="18"/>
          <w:szCs w:val="18"/>
        </w:rPr>
        <w:instrText xml:space="preserve"> HYPERLINK "https://thuvienphapluat.vn/van-ban/Doanh-nghiep/Nghi-dinh-20-2025-ND-CP-sua-doi-Nghi-dinh-132-2020-ND-%d0%a1%d0%a0-quan-ly-thue-doanh-nghiep-co-giao-dich-lien-ket-642785.aspx" \l "_ftnref4" </w:instrText>
      </w:r>
      <w:r w:rsidRPr="00CC56DD">
        <w:rPr>
          <w:rFonts w:ascii="Arial" w:eastAsia="Times New Roman" w:hAnsi="Arial" w:cs="Arial"/>
          <w:color w:val="000000"/>
          <w:sz w:val="18"/>
          <w:szCs w:val="18"/>
        </w:rPr>
        <w:fldChar w:fldCharType="separate"/>
      </w:r>
      <w:r w:rsidRPr="00CC56DD">
        <w:rPr>
          <w:rFonts w:ascii="Arial" w:eastAsia="Times New Roman" w:hAnsi="Arial" w:cs="Arial"/>
          <w:color w:val="000000"/>
          <w:sz w:val="18"/>
          <w:szCs w:val="18"/>
        </w:rPr>
        <w:t>[4]</w:t>
      </w:r>
      <w:r w:rsidRPr="00CC56DD">
        <w:rPr>
          <w:rFonts w:ascii="Arial" w:eastAsia="Times New Roman" w:hAnsi="Arial" w:cs="Arial"/>
          <w:color w:val="000000"/>
          <w:sz w:val="18"/>
          <w:szCs w:val="18"/>
        </w:rPr>
        <w:fldChar w:fldCharType="end"/>
      </w:r>
      <w:r w:rsidRPr="00CC56DD">
        <w:rPr>
          <w:rFonts w:ascii="Arial" w:eastAsia="Times New Roman" w:hAnsi="Arial" w:cs="Arial"/>
          <w:color w:val="000000"/>
          <w:sz w:val="18"/>
          <w:szCs w:val="18"/>
        </w:rPr>
        <w:t> Người nộp thuế kê khai “x” đối với giao dịch thuộc phạm vi áp dụng APA và “không” đối với giao dịch không thuộc phạm vi áp dụng APA.</w:t>
      </w:r>
    </w:p>
    <w:p w:rsidR="005B6519" w:rsidRPr="00CC56DD" w:rsidRDefault="00CC56DD" w:rsidP="00CC56DD">
      <w:bookmarkStart w:id="32" w:name="_GoBack"/>
      <w:bookmarkEnd w:id="32"/>
    </w:p>
    <w:sectPr w:rsidR="005B6519" w:rsidRPr="00CC56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DD"/>
    <w:rsid w:val="00233F69"/>
    <w:rsid w:val="00543B0B"/>
    <w:rsid w:val="00CC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25A3A-5EED-4F23-A058-0454A71F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6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56DD"/>
    <w:rPr>
      <w:color w:val="0000FF"/>
      <w:u w:val="single"/>
    </w:rPr>
  </w:style>
  <w:style w:type="table" w:styleId="TableGrid">
    <w:name w:val="Table Grid"/>
    <w:basedOn w:val="TableNormal"/>
    <w:uiPriority w:val="39"/>
    <w:rsid w:val="00CC5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C56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45094">
      <w:bodyDiv w:val="1"/>
      <w:marLeft w:val="0"/>
      <w:marRight w:val="0"/>
      <w:marTop w:val="0"/>
      <w:marBottom w:val="0"/>
      <w:divBdr>
        <w:top w:val="none" w:sz="0" w:space="0" w:color="auto"/>
        <w:left w:val="none" w:sz="0" w:space="0" w:color="auto"/>
        <w:bottom w:val="none" w:sz="0" w:space="0" w:color="auto"/>
        <w:right w:val="none" w:sz="0" w:space="0" w:color="auto"/>
      </w:divBdr>
      <w:divsChild>
        <w:div w:id="521937029">
          <w:marLeft w:val="0"/>
          <w:marRight w:val="0"/>
          <w:marTop w:val="0"/>
          <w:marBottom w:val="0"/>
          <w:divBdr>
            <w:top w:val="none" w:sz="0" w:space="0" w:color="auto"/>
            <w:left w:val="none" w:sz="0" w:space="0" w:color="auto"/>
            <w:bottom w:val="none" w:sz="0" w:space="0" w:color="auto"/>
            <w:right w:val="none" w:sz="0" w:space="0" w:color="auto"/>
          </w:divBdr>
          <w:divsChild>
            <w:div w:id="619533525">
              <w:marLeft w:val="0"/>
              <w:marRight w:val="0"/>
              <w:marTop w:val="0"/>
              <w:marBottom w:val="0"/>
              <w:divBdr>
                <w:top w:val="none" w:sz="0" w:space="0" w:color="auto"/>
                <w:left w:val="none" w:sz="0" w:space="0" w:color="auto"/>
                <w:bottom w:val="none" w:sz="0" w:space="0" w:color="auto"/>
                <w:right w:val="none" w:sz="0" w:space="0" w:color="auto"/>
              </w:divBdr>
              <w:divsChild>
                <w:div w:id="610163809">
                  <w:marLeft w:val="0"/>
                  <w:marRight w:val="0"/>
                  <w:marTop w:val="0"/>
                  <w:marBottom w:val="0"/>
                  <w:divBdr>
                    <w:top w:val="none" w:sz="0" w:space="0" w:color="auto"/>
                    <w:left w:val="none" w:sz="0" w:space="0" w:color="auto"/>
                    <w:bottom w:val="none" w:sz="0" w:space="0" w:color="auto"/>
                    <w:right w:val="none" w:sz="0" w:space="0" w:color="auto"/>
                  </w:divBdr>
                  <w:divsChild>
                    <w:div w:id="923340992">
                      <w:marLeft w:val="0"/>
                      <w:marRight w:val="0"/>
                      <w:marTop w:val="0"/>
                      <w:marBottom w:val="0"/>
                      <w:divBdr>
                        <w:top w:val="none" w:sz="0" w:space="0" w:color="auto"/>
                        <w:left w:val="none" w:sz="0" w:space="0" w:color="auto"/>
                        <w:bottom w:val="none" w:sz="0" w:space="0" w:color="auto"/>
                        <w:right w:val="none" w:sz="0" w:space="0" w:color="auto"/>
                      </w:divBdr>
                      <w:divsChild>
                        <w:div w:id="1330794049">
                          <w:marLeft w:val="0"/>
                          <w:marRight w:val="0"/>
                          <w:marTop w:val="0"/>
                          <w:marBottom w:val="0"/>
                          <w:divBdr>
                            <w:top w:val="none" w:sz="0" w:space="0" w:color="auto"/>
                            <w:left w:val="none" w:sz="0" w:space="0" w:color="auto"/>
                            <w:bottom w:val="none" w:sz="0" w:space="0" w:color="auto"/>
                            <w:right w:val="none" w:sz="0" w:space="0" w:color="auto"/>
                          </w:divBdr>
                          <w:divsChild>
                            <w:div w:id="456222345">
                              <w:marLeft w:val="0"/>
                              <w:marRight w:val="0"/>
                              <w:marTop w:val="0"/>
                              <w:marBottom w:val="0"/>
                              <w:divBdr>
                                <w:top w:val="none" w:sz="0" w:space="0" w:color="auto"/>
                                <w:left w:val="none" w:sz="0" w:space="0" w:color="auto"/>
                                <w:bottom w:val="none" w:sz="0" w:space="0" w:color="auto"/>
                                <w:right w:val="none" w:sz="0" w:space="0" w:color="auto"/>
                              </w:divBdr>
                              <w:divsChild>
                                <w:div w:id="9553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035242">
          <w:marLeft w:val="0"/>
          <w:marRight w:val="0"/>
          <w:marTop w:val="0"/>
          <w:marBottom w:val="0"/>
          <w:divBdr>
            <w:top w:val="none" w:sz="0" w:space="0" w:color="auto"/>
            <w:left w:val="none" w:sz="0" w:space="0" w:color="auto"/>
            <w:bottom w:val="none" w:sz="0" w:space="0" w:color="auto"/>
            <w:right w:val="none" w:sz="0" w:space="0" w:color="auto"/>
          </w:divBdr>
        </w:div>
        <w:div w:id="1538468948">
          <w:marLeft w:val="0"/>
          <w:marRight w:val="0"/>
          <w:marTop w:val="0"/>
          <w:marBottom w:val="0"/>
          <w:divBdr>
            <w:top w:val="none" w:sz="0" w:space="0" w:color="auto"/>
            <w:left w:val="none" w:sz="0" w:space="0" w:color="auto"/>
            <w:bottom w:val="none" w:sz="0" w:space="0" w:color="auto"/>
            <w:right w:val="none" w:sz="0" w:space="0" w:color="auto"/>
          </w:divBdr>
        </w:div>
        <w:div w:id="671564218">
          <w:marLeft w:val="0"/>
          <w:marRight w:val="0"/>
          <w:marTop w:val="0"/>
          <w:marBottom w:val="0"/>
          <w:divBdr>
            <w:top w:val="none" w:sz="0" w:space="0" w:color="auto"/>
            <w:left w:val="none" w:sz="0" w:space="0" w:color="auto"/>
            <w:bottom w:val="none" w:sz="0" w:space="0" w:color="auto"/>
            <w:right w:val="none" w:sz="0" w:space="0" w:color="auto"/>
          </w:divBdr>
        </w:div>
        <w:div w:id="482158002">
          <w:marLeft w:val="0"/>
          <w:marRight w:val="0"/>
          <w:marTop w:val="0"/>
          <w:marBottom w:val="0"/>
          <w:divBdr>
            <w:top w:val="none" w:sz="0" w:space="0" w:color="auto"/>
            <w:left w:val="none" w:sz="0" w:space="0" w:color="auto"/>
            <w:bottom w:val="none" w:sz="0" w:space="0" w:color="auto"/>
            <w:right w:val="none" w:sz="0" w:space="0" w:color="auto"/>
          </w:divBdr>
        </w:div>
      </w:divsChild>
    </w:div>
    <w:div w:id="13006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nghi-dinh-132-2020-nd-cp-quy-dinh-quan-ly-thue-doi-voi-doanh-nghiep-co-giao-dich-lien-ket-4522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7061</Words>
  <Characters>40249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2025-02-13T12:43:00Z</dcterms:created>
  <dcterms:modified xsi:type="dcterms:W3CDTF">2025-02-13T12:58:00Z</dcterms:modified>
</cp:coreProperties>
</file>