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5A5" w:rsidRPr="003925A5" w:rsidRDefault="003925A5" w:rsidP="003925A5">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233"/>
        <w:gridCol w:w="3117"/>
      </w:tblGrid>
      <w:tr w:rsidR="003925A5" w:rsidRPr="003925A5" w:rsidTr="003925A5">
        <w:trPr>
          <w:tblCellSpacing w:w="0" w:type="dxa"/>
        </w:trPr>
        <w:tc>
          <w:tcPr>
            <w:tcW w:w="3300" w:type="pct"/>
            <w:tcBorders>
              <w:top w:val="nil"/>
              <w:left w:val="nil"/>
              <w:bottom w:val="nil"/>
              <w:right w:val="single" w:sz="8" w:space="0" w:color="auto"/>
            </w:tcBorders>
            <w:shd w:val="clear" w:color="auto" w:fill="FFFFFF"/>
            <w:hideMark/>
          </w:tcPr>
          <w:p w:rsidR="003925A5" w:rsidRPr="003925A5" w:rsidRDefault="003925A5" w:rsidP="003925A5">
            <w:pPr>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w:t>
            </w:r>
          </w:p>
        </w:tc>
        <w:tc>
          <w:tcPr>
            <w:tcW w:w="1650" w:type="pct"/>
            <w:tcBorders>
              <w:top w:val="single" w:sz="8" w:space="0" w:color="auto"/>
              <w:left w:val="nil"/>
              <w:bottom w:val="single" w:sz="8" w:space="0" w:color="auto"/>
              <w:right w:val="single" w:sz="8" w:space="0" w:color="auto"/>
            </w:tcBorders>
            <w:shd w:val="clear" w:color="auto" w:fill="FFFFFF"/>
            <w:hideMark/>
          </w:tcPr>
          <w:p w:rsidR="003925A5" w:rsidRPr="003925A5" w:rsidRDefault="003925A5" w:rsidP="003925A5">
            <w:pPr>
              <w:spacing w:after="0" w:line="234" w:lineRule="atLeast"/>
              <w:jc w:val="center"/>
              <w:rPr>
                <w:rFonts w:ascii="Arial" w:eastAsia="Times New Roman" w:hAnsi="Arial" w:cs="Arial"/>
                <w:color w:val="000000"/>
                <w:sz w:val="18"/>
                <w:szCs w:val="18"/>
              </w:rPr>
            </w:pPr>
            <w:bookmarkStart w:id="0" w:name="chuong_pl"/>
            <w:r w:rsidRPr="003925A5">
              <w:rPr>
                <w:rFonts w:ascii="Arial" w:eastAsia="Times New Roman" w:hAnsi="Arial" w:cs="Arial"/>
                <w:b/>
                <w:bCs/>
                <w:color w:val="000000"/>
                <w:sz w:val="18"/>
                <w:szCs w:val="18"/>
              </w:rPr>
              <w:t>Mẫu số 01</w:t>
            </w:r>
            <w:bookmarkEnd w:id="0"/>
            <w:r w:rsidRPr="003925A5">
              <w:rPr>
                <w:rFonts w:ascii="Arial" w:eastAsia="Times New Roman" w:hAnsi="Arial" w:cs="Arial"/>
                <w:b/>
                <w:bCs/>
                <w:color w:val="000000"/>
                <w:sz w:val="18"/>
                <w:szCs w:val="18"/>
              </w:rPr>
              <w:br/>
            </w:r>
            <w:r w:rsidRPr="003925A5">
              <w:rPr>
                <w:rFonts w:ascii="Arial" w:eastAsia="Times New Roman" w:hAnsi="Arial" w:cs="Arial"/>
                <w:i/>
                <w:iCs/>
                <w:color w:val="000000"/>
                <w:sz w:val="18"/>
                <w:szCs w:val="18"/>
              </w:rPr>
              <w:t>(Kèm theo Thông tư số 14/2025/TT-BTC ngày 4/4/2025 của Bộ trưởng Bộ Tài chính)</w:t>
            </w:r>
          </w:p>
        </w:tc>
      </w:tr>
    </w:tbl>
    <w:p w:rsidR="003925A5" w:rsidRPr="003925A5" w:rsidRDefault="003925A5" w:rsidP="003925A5">
      <w:pPr>
        <w:shd w:val="clear" w:color="auto" w:fill="FFFFFF"/>
        <w:spacing w:before="120" w:after="120" w:line="234" w:lineRule="atLeast"/>
        <w:jc w:val="center"/>
        <w:rPr>
          <w:rFonts w:ascii="Arial" w:eastAsia="Times New Roman" w:hAnsi="Arial" w:cs="Arial"/>
          <w:color w:val="000000"/>
          <w:sz w:val="18"/>
          <w:szCs w:val="18"/>
        </w:rPr>
      </w:pPr>
      <w:r w:rsidRPr="003925A5">
        <w:rPr>
          <w:rFonts w:ascii="Arial" w:eastAsia="Times New Roman" w:hAnsi="Arial" w:cs="Arial"/>
          <w:b/>
          <w:bCs/>
          <w:color w:val="000000"/>
          <w:sz w:val="18"/>
          <w:szCs w:val="18"/>
        </w:rPr>
        <w:t>CỘNG HÒA XÃ HỘI CHỦ NGHĨA VIỆT NAM</w:t>
      </w:r>
      <w:r w:rsidRPr="003925A5">
        <w:rPr>
          <w:rFonts w:ascii="Arial" w:eastAsia="Times New Roman" w:hAnsi="Arial" w:cs="Arial"/>
          <w:b/>
          <w:bCs/>
          <w:color w:val="000000"/>
          <w:sz w:val="18"/>
          <w:szCs w:val="18"/>
        </w:rPr>
        <w:br/>
        <w:t>Độc lập - Tự do - Hạnh phúc</w:t>
      </w:r>
      <w:r w:rsidRPr="003925A5">
        <w:rPr>
          <w:rFonts w:ascii="Arial" w:eastAsia="Times New Roman" w:hAnsi="Arial" w:cs="Arial"/>
          <w:b/>
          <w:bCs/>
          <w:color w:val="000000"/>
          <w:sz w:val="18"/>
          <w:szCs w:val="18"/>
        </w:rPr>
        <w:br/>
        <w:t>---------------</w:t>
      </w:r>
    </w:p>
    <w:p w:rsidR="003925A5" w:rsidRPr="003925A5" w:rsidRDefault="003925A5" w:rsidP="003925A5">
      <w:pPr>
        <w:shd w:val="clear" w:color="auto" w:fill="FFFFFF"/>
        <w:spacing w:before="120" w:after="120" w:line="234" w:lineRule="atLeast"/>
        <w:jc w:val="center"/>
        <w:rPr>
          <w:rFonts w:ascii="Arial" w:eastAsia="Times New Roman" w:hAnsi="Arial" w:cs="Arial"/>
          <w:color w:val="000000"/>
          <w:sz w:val="18"/>
          <w:szCs w:val="18"/>
        </w:rPr>
      </w:pPr>
      <w:r w:rsidRPr="003925A5">
        <w:rPr>
          <w:rFonts w:ascii="Arial" w:eastAsia="Times New Roman" w:hAnsi="Arial" w:cs="Arial"/>
          <w:i/>
          <w:iCs/>
          <w:color w:val="000000"/>
          <w:sz w:val="18"/>
          <w:szCs w:val="18"/>
        </w:rPr>
        <w:t>…, ngày... tháng...năm...</w:t>
      </w:r>
    </w:p>
    <w:p w:rsidR="003925A5" w:rsidRPr="003925A5" w:rsidRDefault="003925A5" w:rsidP="003925A5">
      <w:pPr>
        <w:shd w:val="clear" w:color="auto" w:fill="FFFFFF"/>
        <w:spacing w:after="0" w:line="234" w:lineRule="atLeast"/>
        <w:jc w:val="center"/>
        <w:rPr>
          <w:rFonts w:ascii="Arial" w:eastAsia="Times New Roman" w:hAnsi="Arial" w:cs="Arial"/>
          <w:color w:val="000000"/>
          <w:sz w:val="18"/>
          <w:szCs w:val="18"/>
        </w:rPr>
      </w:pPr>
      <w:bookmarkStart w:id="1" w:name="chuong_pl_name"/>
      <w:r w:rsidRPr="003925A5">
        <w:rPr>
          <w:rFonts w:ascii="Arial" w:eastAsia="Times New Roman" w:hAnsi="Arial" w:cs="Arial"/>
          <w:b/>
          <w:bCs/>
          <w:color w:val="000000"/>
          <w:sz w:val="18"/>
          <w:szCs w:val="18"/>
        </w:rPr>
        <w:t>HỢP ĐỒNG ỦY THÁC BÙ TRỪ, THANH TOÁN</w:t>
      </w:r>
      <w:bookmarkEnd w:id="1"/>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xml:space="preserve">Hợp đồng ủy thác bù trừ, thanh toán giữa thành viên không bù trừ và thành viên bù trừ </w:t>
      </w:r>
      <w:proofErr w:type="gramStart"/>
      <w:r w:rsidRPr="003925A5">
        <w:rPr>
          <w:rFonts w:ascii="Arial" w:eastAsia="Times New Roman" w:hAnsi="Arial" w:cs="Arial"/>
          <w:color w:val="000000"/>
          <w:sz w:val="18"/>
          <w:szCs w:val="18"/>
        </w:rPr>
        <w:t>chung</w:t>
      </w:r>
      <w:proofErr w:type="gramEnd"/>
      <w:r w:rsidRPr="003925A5">
        <w:rPr>
          <w:rFonts w:ascii="Arial" w:eastAsia="Times New Roman" w:hAnsi="Arial" w:cs="Arial"/>
          <w:color w:val="000000"/>
          <w:sz w:val="18"/>
          <w:szCs w:val="18"/>
        </w:rPr>
        <w:t xml:space="preserve"> bao gồm tối thiểu những nội dung sau đây:</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b/>
          <w:bCs/>
          <w:color w:val="000000"/>
          <w:sz w:val="18"/>
          <w:szCs w:val="18"/>
        </w:rPr>
        <w:t>1. Căn cứ pháp lý</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Căn cứ Luật Chứng khoán ngày 26 tháng 11 năm 2019;</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Căn cứ Bộ luật Dân sự ngày 24 tháng 11 năm 2015;</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Căn cứ Nghị định số 158/2020/NĐ-CP ngày 31 tháng 12 năm 2020 của Chính phủ về chứng khoán phái sinh và thị trường chứng khoán phái sinh;</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Căn cứ Thông tư số 58/2021/TT-BTC ngày 12 tháng 7 năm 2021 của Bộ trưởng Bộ Tài chính hướng dẫn một số điều của Nghị định số 158/2020/NĐ-CP ngày 31 tháng 12 năm 2020 của Chính phủ về chứng khoán phái sinh và thị trường chứng khoán phái sinh;</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Căn cứ Thông tư số 14 ngày 04/4/2025 của Bộ trưởng Bộ Tài chính sửa đổi, bổ sung một số điều của Thông tư số 119/2020/TT-BTC ngày 31 tháng 12 năm 2020 của Bộ trưởng Bộ Tài chính quy định hoạt động đăng ký, lưu ký, bù trừ và thanh toán giao dịch chứng khoán và Thông tư số 58/2021/TT-BTC ngày 12 tháng 7 năm 2021 của Bộ trưởng Bộ Tài chính hướng dẫn một số điều của Nghị định số 158/2020/NĐ-CP ngày 31 tháng 12 năm 2020 của Chính phủ về chứng khoán phái sinh và thị trường chứng khoán phái sinh.</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b/>
          <w:bCs/>
          <w:color w:val="000000"/>
          <w:sz w:val="18"/>
          <w:szCs w:val="18"/>
        </w:rPr>
        <w:t>2. Các bên tham gia ký kết hợp đồng</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Tên, địa chỉ, điện thoại, số giấy phép thành lập và hoạt động của thành viên không bù trừ; Họ, chữ đệm và tên khai sinh, ngày, tháng, năm sinh, số định danh cá nhân (đối với cá nhân là công dân Việt Nam, người gốc Việt Nam chưa xác định được quốc tịch đang sinh sống tại Việt Nam, người nước ngoài đã được cấp số định danh cá nhân), số hộ chiếu (đối với người nước ngoài không có số định danh cá nhân), chức danh, quyết định ủy quyền của người đại diện, người được ủy quyền theo pháp luật của thành viên không bù trừ;</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Tên, địa chỉ, điện thoại, số giấy phép thành lập và hoạt động của thành viên bù trừ chung; Họ, chữ đệm và tên khai sinh, ngày, tháng, năm sinh, số định danh cá nhân (đối với cá nhân là công dân Việt Nam, người gốc Việt Nam chưa xác định được quốc tịch đang sinh sống tại Việt Nam, người nước ngoài đã được cấp số định danh cá nhân), số hộ chiếu (đối với người nước ngoài không có số định danh cá nhân), chức danh, quyết định ủy quyền của người đại diện, người được ủy quyền theo pháp luật của thành viên bù trừ chung.</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b/>
          <w:bCs/>
          <w:color w:val="000000"/>
          <w:sz w:val="18"/>
          <w:szCs w:val="18"/>
        </w:rPr>
        <w:t>3. Điều khoản và các thỏa thuận cụ thể</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Mở tài khoản của nhà đầu tư tại thành viên không bù trừ;</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xml:space="preserve">- Mở tài khoản ký quỹ tại thành viên bù trừ </w:t>
      </w:r>
      <w:proofErr w:type="gramStart"/>
      <w:r w:rsidRPr="003925A5">
        <w:rPr>
          <w:rFonts w:ascii="Arial" w:eastAsia="Times New Roman" w:hAnsi="Arial" w:cs="Arial"/>
          <w:color w:val="000000"/>
          <w:sz w:val="18"/>
          <w:szCs w:val="18"/>
        </w:rPr>
        <w:t>chung</w:t>
      </w:r>
      <w:proofErr w:type="gramEnd"/>
      <w:r w:rsidRPr="003925A5">
        <w:rPr>
          <w:rFonts w:ascii="Arial" w:eastAsia="Times New Roman" w:hAnsi="Arial" w:cs="Arial"/>
          <w:color w:val="000000"/>
          <w:sz w:val="18"/>
          <w:szCs w:val="18"/>
        </w:rPr>
        <w:t>;</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xml:space="preserve">- Thành viên không bù trừ đại diện cho nhà đầu tư trong mối quan hệ với thành viên bù trừ </w:t>
      </w:r>
      <w:proofErr w:type="gramStart"/>
      <w:r w:rsidRPr="003925A5">
        <w:rPr>
          <w:rFonts w:ascii="Arial" w:eastAsia="Times New Roman" w:hAnsi="Arial" w:cs="Arial"/>
          <w:color w:val="000000"/>
          <w:sz w:val="18"/>
          <w:szCs w:val="18"/>
        </w:rPr>
        <w:t>chung</w:t>
      </w:r>
      <w:proofErr w:type="gramEnd"/>
      <w:r w:rsidRPr="003925A5">
        <w:rPr>
          <w:rFonts w:ascii="Arial" w:eastAsia="Times New Roman" w:hAnsi="Arial" w:cs="Arial"/>
          <w:color w:val="000000"/>
          <w:sz w:val="18"/>
          <w:szCs w:val="18"/>
        </w:rPr>
        <w:t>;</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xml:space="preserve">- Hợp đồng 3 bên giữa nhà đầu tư - thành viên không bù trừ - thành viên bù trừ </w:t>
      </w:r>
      <w:proofErr w:type="gramStart"/>
      <w:r w:rsidRPr="003925A5">
        <w:rPr>
          <w:rFonts w:ascii="Arial" w:eastAsia="Times New Roman" w:hAnsi="Arial" w:cs="Arial"/>
          <w:color w:val="000000"/>
          <w:sz w:val="18"/>
          <w:szCs w:val="18"/>
        </w:rPr>
        <w:t>chung</w:t>
      </w:r>
      <w:proofErr w:type="gramEnd"/>
      <w:r w:rsidRPr="003925A5">
        <w:rPr>
          <w:rFonts w:ascii="Arial" w:eastAsia="Times New Roman" w:hAnsi="Arial" w:cs="Arial"/>
          <w:color w:val="000000"/>
          <w:sz w:val="18"/>
          <w:szCs w:val="18"/>
        </w:rPr>
        <w:t>;</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Quy định về nộp/rút tài sản ký quỹ của nhà đầu tư;</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Quy định về kiểm tra ký quỹ trước khi đặt lệnh giao dịch chứng khoán phái sinh;</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lastRenderedPageBreak/>
        <w:t>- Quy định về giám sát số lượng hợp đồng nắm giữ để đảm bảo tỷ lệ sử dụng tài sản ký quỹ, giới hạn vị thế cho phép.</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b/>
          <w:bCs/>
          <w:color w:val="000000"/>
          <w:sz w:val="18"/>
          <w:szCs w:val="18"/>
        </w:rPr>
        <w:t>4. Điều khoản về quyền và nghĩa vụ của các bên tham gia</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xml:space="preserve">- Thành viên bù trừ </w:t>
      </w:r>
      <w:proofErr w:type="gramStart"/>
      <w:r w:rsidRPr="003925A5">
        <w:rPr>
          <w:rFonts w:ascii="Arial" w:eastAsia="Times New Roman" w:hAnsi="Arial" w:cs="Arial"/>
          <w:color w:val="000000"/>
          <w:sz w:val="18"/>
          <w:szCs w:val="18"/>
        </w:rPr>
        <w:t>chung</w:t>
      </w:r>
      <w:proofErr w:type="gramEnd"/>
      <w:r w:rsidRPr="003925A5">
        <w:rPr>
          <w:rFonts w:ascii="Arial" w:eastAsia="Times New Roman" w:hAnsi="Arial" w:cs="Arial"/>
          <w:color w:val="000000"/>
          <w:sz w:val="18"/>
          <w:szCs w:val="18"/>
        </w:rPr>
        <w:t xml:space="preserve"> nhận ủy thác của thành viên không bù trừ để thực hiện đảm bảo thanh toán giao dịch chứng khoán phái sinh thông qua các cơ chế bảo đảm thanh toán và phòng ngừa rủi ro;</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Thành viên bù trừ chung cung cấp cho thành viên không bù trừ các dịch vụ liên quan tới hoạt động bù trừ, thanh toán, bao gồm: bù trừ, thanh toán giao dịch chứng khoán phái sinh; theo dõi, quản lý tài sản ký quỹ của thành viên không bù trừ và khách hàng của thành viên không bù trừ; bảo đảm quản lý tách biệt tài khoản, tài sản của thành viên không bù trừ và tài khoản, tài sản của khách hàng của thành viên không bù trừ;</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Các quyền và nghĩa vụ khác (nếu có) của các bên.</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b/>
          <w:bCs/>
          <w:color w:val="000000"/>
          <w:sz w:val="18"/>
          <w:szCs w:val="18"/>
        </w:rPr>
        <w:t>5. Điều khoản về các thỏa thuận khác</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xml:space="preserve">- Phí ủy thác </w:t>
      </w:r>
      <w:proofErr w:type="gramStart"/>
      <w:r w:rsidRPr="003925A5">
        <w:rPr>
          <w:rFonts w:ascii="Arial" w:eastAsia="Times New Roman" w:hAnsi="Arial" w:cs="Arial"/>
          <w:color w:val="000000"/>
          <w:sz w:val="18"/>
          <w:szCs w:val="18"/>
        </w:rPr>
        <w:t>theo</w:t>
      </w:r>
      <w:proofErr w:type="gramEnd"/>
      <w:r w:rsidRPr="003925A5">
        <w:rPr>
          <w:rFonts w:ascii="Arial" w:eastAsia="Times New Roman" w:hAnsi="Arial" w:cs="Arial"/>
          <w:color w:val="000000"/>
          <w:sz w:val="18"/>
          <w:szCs w:val="18"/>
        </w:rPr>
        <w:t xml:space="preserve"> quy định (nếu có) hoặc thỏa thuận giữa các bên;</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Giải quyết tranh chấp phát sinh;</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xml:space="preserve">- Phương </w:t>
      </w:r>
      <w:proofErr w:type="gramStart"/>
      <w:r w:rsidRPr="003925A5">
        <w:rPr>
          <w:rFonts w:ascii="Arial" w:eastAsia="Times New Roman" w:hAnsi="Arial" w:cs="Arial"/>
          <w:color w:val="000000"/>
          <w:sz w:val="18"/>
          <w:szCs w:val="18"/>
        </w:rPr>
        <w:t>án</w:t>
      </w:r>
      <w:proofErr w:type="gramEnd"/>
      <w:r w:rsidRPr="003925A5">
        <w:rPr>
          <w:rFonts w:ascii="Arial" w:eastAsia="Times New Roman" w:hAnsi="Arial" w:cs="Arial"/>
          <w:color w:val="000000"/>
          <w:sz w:val="18"/>
          <w:szCs w:val="18"/>
        </w:rPr>
        <w:t xml:space="preserve"> xử lý đối với trường hợp thành viên không bù trừ hoặc khách hàng của thành viên không bù trừ mất khả năng thanh toán;</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xml:space="preserve">- Phương </w:t>
      </w:r>
      <w:proofErr w:type="gramStart"/>
      <w:r w:rsidRPr="003925A5">
        <w:rPr>
          <w:rFonts w:ascii="Arial" w:eastAsia="Times New Roman" w:hAnsi="Arial" w:cs="Arial"/>
          <w:color w:val="000000"/>
          <w:sz w:val="18"/>
          <w:szCs w:val="18"/>
        </w:rPr>
        <w:t>án</w:t>
      </w:r>
      <w:proofErr w:type="gramEnd"/>
      <w:r w:rsidRPr="003925A5">
        <w:rPr>
          <w:rFonts w:ascii="Arial" w:eastAsia="Times New Roman" w:hAnsi="Arial" w:cs="Arial"/>
          <w:color w:val="000000"/>
          <w:sz w:val="18"/>
          <w:szCs w:val="18"/>
        </w:rPr>
        <w:t xml:space="preserve"> xử lý đối với trường hợp thành viên không bù trừ hoặc khách hàng của thành viên không bù trừ phá sản;</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Xử lý đối với các vấn đề lỗi của thành viên không bù trừ (đặt lệnh sai...), lỗi của thành viên bù trừ (thông tin sai về ký quỹ, số hợp đồng nắm giữ...);</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Sửa đổi, bổ sung, chấm dứt hợp đồng.</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b/>
          <w:bCs/>
          <w:color w:val="000000"/>
          <w:sz w:val="18"/>
          <w:szCs w:val="18"/>
        </w:rPr>
        <w:t>6. Các vấn đề khác ảnh hưởng đến quyền và nghĩa vụ của các bên.</w:t>
      </w:r>
    </w:p>
    <w:p w:rsidR="003925A5" w:rsidRPr="003925A5" w:rsidRDefault="003925A5" w:rsidP="003925A5">
      <w:pPr>
        <w:shd w:val="clear" w:color="auto" w:fill="FFFFFF"/>
        <w:spacing w:before="120" w:after="120" w:line="234" w:lineRule="atLeast"/>
        <w:rPr>
          <w:rFonts w:ascii="Arial" w:eastAsia="Times New Roman" w:hAnsi="Arial" w:cs="Arial"/>
          <w:color w:val="000000"/>
          <w:sz w:val="18"/>
          <w:szCs w:val="18"/>
        </w:rPr>
      </w:pPr>
      <w:r w:rsidRPr="003925A5">
        <w:rPr>
          <w:rFonts w:ascii="Arial" w:eastAsia="Times New Roman" w:hAnsi="Arial" w:cs="Arial"/>
          <w:color w:val="000000"/>
          <w:sz w:val="18"/>
          <w:szCs w:val="18"/>
        </w:rPr>
        <w:t> </w:t>
      </w:r>
    </w:p>
    <w:p w:rsidR="005B6519" w:rsidRPr="003925A5" w:rsidRDefault="003925A5" w:rsidP="003925A5">
      <w:bookmarkStart w:id="2" w:name="_GoBack"/>
      <w:bookmarkEnd w:id="2"/>
    </w:p>
    <w:sectPr w:rsidR="005B6519" w:rsidRPr="003925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481"/>
    <w:rsid w:val="00233F69"/>
    <w:rsid w:val="003925A5"/>
    <w:rsid w:val="00543B0B"/>
    <w:rsid w:val="00FA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C2864-9EC1-48AD-BEB7-1CAC6AE5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25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25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24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25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25A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240484">
      <w:bodyDiv w:val="1"/>
      <w:marLeft w:val="0"/>
      <w:marRight w:val="0"/>
      <w:marTop w:val="0"/>
      <w:marBottom w:val="0"/>
      <w:divBdr>
        <w:top w:val="none" w:sz="0" w:space="0" w:color="auto"/>
        <w:left w:val="none" w:sz="0" w:space="0" w:color="auto"/>
        <w:bottom w:val="none" w:sz="0" w:space="0" w:color="auto"/>
        <w:right w:val="none" w:sz="0" w:space="0" w:color="auto"/>
      </w:divBdr>
    </w:div>
    <w:div w:id="979648889">
      <w:bodyDiv w:val="1"/>
      <w:marLeft w:val="0"/>
      <w:marRight w:val="0"/>
      <w:marTop w:val="0"/>
      <w:marBottom w:val="0"/>
      <w:divBdr>
        <w:top w:val="none" w:sz="0" w:space="0" w:color="auto"/>
        <w:left w:val="none" w:sz="0" w:space="0" w:color="auto"/>
        <w:bottom w:val="none" w:sz="0" w:space="0" w:color="auto"/>
        <w:right w:val="none" w:sz="0" w:space="0" w:color="auto"/>
      </w:divBdr>
    </w:div>
    <w:div w:id="137484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2025-04-09T15:45:00Z</dcterms:created>
  <dcterms:modified xsi:type="dcterms:W3CDTF">2025-04-09T16:12:00Z</dcterms:modified>
</cp:coreProperties>
</file>