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b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33"/>
        <w:gridCol w:w="3117"/>
      </w:tblGrid>
      <w:tr w:rsidR="00CA655D" w:rsidRPr="00CA655D" w:rsidTr="00CA655D">
        <w:trPr>
          <w:tblCellSpacing w:w="0" w:type="dxa"/>
        </w:trPr>
        <w:tc>
          <w:tcPr>
            <w:tcW w:w="3300" w:type="pct"/>
            <w:tcBorders>
              <w:top w:val="nil"/>
              <w:left w:val="nil"/>
              <w:bottom w:val="nil"/>
              <w:right w:val="single" w:sz="8" w:space="0" w:color="auto"/>
            </w:tcBorders>
            <w:shd w:val="clear" w:color="auto" w:fill="FFFFFF"/>
            <w:hideMark/>
          </w:tcPr>
          <w:p w:rsidR="00CA655D" w:rsidRPr="00CA655D" w:rsidRDefault="00CA655D" w:rsidP="00CA655D">
            <w:pPr>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w:t>
            </w:r>
          </w:p>
        </w:tc>
        <w:tc>
          <w:tcPr>
            <w:tcW w:w="1650" w:type="pct"/>
            <w:tcBorders>
              <w:top w:val="single" w:sz="8" w:space="0" w:color="auto"/>
              <w:left w:val="nil"/>
              <w:bottom w:val="single" w:sz="8" w:space="0" w:color="auto"/>
              <w:right w:val="single" w:sz="8" w:space="0" w:color="auto"/>
            </w:tcBorders>
            <w:shd w:val="clear" w:color="auto" w:fill="FFFFFF"/>
            <w:hideMark/>
          </w:tcPr>
          <w:p w:rsidR="00CA655D" w:rsidRPr="00CA655D" w:rsidRDefault="00CA655D" w:rsidP="00CA655D">
            <w:pPr>
              <w:spacing w:after="0" w:line="234" w:lineRule="atLeast"/>
              <w:jc w:val="center"/>
              <w:rPr>
                <w:rFonts w:ascii="Arial" w:eastAsia="Times New Roman" w:hAnsi="Arial" w:cs="Arial"/>
                <w:color w:val="000000"/>
                <w:sz w:val="18"/>
                <w:szCs w:val="18"/>
              </w:rPr>
            </w:pPr>
            <w:bookmarkStart w:id="0" w:name="chuong_pl1"/>
            <w:r w:rsidRPr="00CA655D">
              <w:rPr>
                <w:rFonts w:ascii="Arial" w:eastAsia="Times New Roman" w:hAnsi="Arial" w:cs="Arial"/>
                <w:b/>
                <w:bCs/>
                <w:color w:val="000000"/>
                <w:sz w:val="18"/>
                <w:szCs w:val="18"/>
              </w:rPr>
              <w:t>Mẫu số 02</w:t>
            </w:r>
            <w:bookmarkEnd w:id="0"/>
            <w:r w:rsidRPr="00CA655D">
              <w:rPr>
                <w:rFonts w:ascii="Arial" w:eastAsia="Times New Roman" w:hAnsi="Arial" w:cs="Arial"/>
                <w:b/>
                <w:bCs/>
                <w:color w:val="000000"/>
                <w:sz w:val="18"/>
                <w:szCs w:val="18"/>
              </w:rPr>
              <w:br/>
            </w:r>
            <w:r w:rsidRPr="00CA655D">
              <w:rPr>
                <w:rFonts w:ascii="Arial" w:eastAsia="Times New Roman" w:hAnsi="Arial" w:cs="Arial"/>
                <w:i/>
                <w:iCs/>
                <w:color w:val="000000"/>
                <w:sz w:val="18"/>
                <w:szCs w:val="18"/>
              </w:rPr>
              <w:t>(Kèm theo Thông tư số 14/2025/TT-BTC ngày 4/4/2025 của Bộ trưởng Bộ Tài chính)</w:t>
            </w:r>
          </w:p>
        </w:tc>
      </w:tr>
    </w:tbl>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w:t>
      </w:r>
    </w:p>
    <w:p w:rsidR="00CA655D" w:rsidRPr="00CA655D" w:rsidRDefault="00CA655D" w:rsidP="00CA655D">
      <w:pPr>
        <w:shd w:val="clear" w:color="auto" w:fill="FFFFFF"/>
        <w:spacing w:before="120" w:after="120" w:line="234" w:lineRule="atLeast"/>
        <w:jc w:val="center"/>
        <w:rPr>
          <w:rFonts w:ascii="Arial" w:eastAsia="Times New Roman" w:hAnsi="Arial" w:cs="Arial"/>
          <w:color w:val="000000"/>
          <w:sz w:val="18"/>
          <w:szCs w:val="18"/>
        </w:rPr>
      </w:pPr>
      <w:r w:rsidRPr="00CA655D">
        <w:rPr>
          <w:rFonts w:ascii="Arial" w:eastAsia="Times New Roman" w:hAnsi="Arial" w:cs="Arial"/>
          <w:b/>
          <w:bCs/>
          <w:color w:val="000000"/>
          <w:sz w:val="18"/>
          <w:szCs w:val="18"/>
        </w:rPr>
        <w:t>CỘNG HÒA XÃ HỘI CHỦ NGHĨA VIỆT NAM</w:t>
      </w:r>
      <w:r w:rsidRPr="00CA655D">
        <w:rPr>
          <w:rFonts w:ascii="Arial" w:eastAsia="Times New Roman" w:hAnsi="Arial" w:cs="Arial"/>
          <w:b/>
          <w:bCs/>
          <w:color w:val="000000"/>
          <w:sz w:val="18"/>
          <w:szCs w:val="18"/>
        </w:rPr>
        <w:br/>
        <w:t>Độc lập - Tự do - Hạnh phúc</w:t>
      </w:r>
      <w:r w:rsidRPr="00CA655D">
        <w:rPr>
          <w:rFonts w:ascii="Arial" w:eastAsia="Times New Roman" w:hAnsi="Arial" w:cs="Arial"/>
          <w:b/>
          <w:bCs/>
          <w:color w:val="000000"/>
          <w:sz w:val="18"/>
          <w:szCs w:val="18"/>
        </w:rPr>
        <w:br/>
        <w:t>---------------</w:t>
      </w:r>
    </w:p>
    <w:p w:rsidR="00CA655D" w:rsidRPr="00CA655D" w:rsidRDefault="00CA655D" w:rsidP="00CA655D">
      <w:pPr>
        <w:shd w:val="clear" w:color="auto" w:fill="FFFFFF"/>
        <w:spacing w:before="120" w:after="120" w:line="234" w:lineRule="atLeast"/>
        <w:jc w:val="center"/>
        <w:rPr>
          <w:rFonts w:ascii="Arial" w:eastAsia="Times New Roman" w:hAnsi="Arial" w:cs="Arial"/>
          <w:color w:val="000000"/>
          <w:sz w:val="18"/>
          <w:szCs w:val="18"/>
        </w:rPr>
      </w:pPr>
      <w:r w:rsidRPr="00CA655D">
        <w:rPr>
          <w:rFonts w:ascii="Arial" w:eastAsia="Times New Roman" w:hAnsi="Arial" w:cs="Arial"/>
          <w:i/>
          <w:iCs/>
          <w:color w:val="000000"/>
          <w:sz w:val="18"/>
          <w:szCs w:val="18"/>
        </w:rPr>
        <w:t>…, ngày... tháng...năm...</w:t>
      </w:r>
    </w:p>
    <w:p w:rsidR="00CA655D" w:rsidRPr="00CA655D" w:rsidRDefault="00CA655D" w:rsidP="00CA655D">
      <w:pPr>
        <w:shd w:val="clear" w:color="auto" w:fill="FFFFFF"/>
        <w:spacing w:after="0" w:line="234" w:lineRule="atLeast"/>
        <w:jc w:val="center"/>
        <w:rPr>
          <w:rFonts w:ascii="Arial" w:eastAsia="Times New Roman" w:hAnsi="Arial" w:cs="Arial"/>
          <w:color w:val="000000"/>
          <w:sz w:val="18"/>
          <w:szCs w:val="18"/>
        </w:rPr>
      </w:pPr>
      <w:bookmarkStart w:id="1" w:name="chuong_pl1_name"/>
      <w:r w:rsidRPr="00CA655D">
        <w:rPr>
          <w:rFonts w:ascii="Arial" w:eastAsia="Times New Roman" w:hAnsi="Arial" w:cs="Arial"/>
          <w:b/>
          <w:bCs/>
          <w:color w:val="000000"/>
          <w:sz w:val="18"/>
          <w:szCs w:val="18"/>
        </w:rPr>
        <w:t>HỢP ĐỒNG MỞ TÀI KHOẢN GIAO DỊCH CHỨNG KHOÁN PHÁI SINH</w:t>
      </w:r>
      <w:bookmarkEnd w:id="1"/>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Hợp đồng mở tài khoản giao dịch chứng khoán phái sinh giữa công ty chứng khoán và khách hàng bao gồm tối thiểu những nội dung sau đây:</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b/>
          <w:bCs/>
          <w:color w:val="000000"/>
          <w:sz w:val="18"/>
          <w:szCs w:val="18"/>
        </w:rPr>
        <w:t>1. Các bên tham gia ký kết hợp đồng</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Tên, địa chỉ, điện thoại, số giấy phép thành lập và hoạt động của công ty chứng khoán; Họ, chữ đệm và tên khai sinh, ngày, tháng, năm sinh,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quyết định ủy quyền của người đại diện, người được ủy quyền theo pháp luật của công ty chứng khoán;</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Họ, chữ đệm và tên khai sinh, ngày, tháng, năm sinh, địa chỉ, điện thoại,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của khách hàng cá nhân; Tên, địa chỉ, giấy chứng nhận đăng ký doanh nghiệp của khách hàng tổ chức, họ, chữ đệm và tên khai sinh, ngày, tháng, năm sinh, chức danh,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quyết định ủy quyền của người đại diện, người được ủy quyền theo pháp luật của khách hàng tổ chức (nếu có).</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b/>
          <w:bCs/>
          <w:color w:val="000000"/>
          <w:sz w:val="18"/>
          <w:szCs w:val="18"/>
        </w:rPr>
        <w:t>2. Điều khoản về các thỏa thuận cụ thể</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a) Các cách thức nhận lệnh của công ty;</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b) Tỷ lệ ký quỹ chứng khoán phái sinh được áp dụng;</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c) Thỏa thuận về lãi suất trên số dư tiền gửi ký quỹ tại ngân hàng;</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d) Thời hạn, cách thức xử lý tài sản trong trường hợp khách hàng bị mất khả năng thanh toán;</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đ) Thỏa thuận về thời gian và phương thức chuyển đổi từ ngoại tệ sang đồng Việt Nam trong trường hợp chuyển tiền giao dịch chứng khoán phái sinh bằng ngoại tệ.</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e) Nêu rõ các rủi ro phát sinh trong trường hợp thành viên bù trừ mất khả năng thanh toán hoặc bị đình chỉ, tạm ngừng hoạt động, giải thể, phá sản.</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b/>
          <w:bCs/>
          <w:color w:val="000000"/>
          <w:sz w:val="18"/>
          <w:szCs w:val="18"/>
        </w:rPr>
        <w:t>3. Điều khoản về quyền và nghĩa vụ các bên tham gia</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a) Quyền và nghĩa vụ của khách hàng (sở hữu tiền, chứng khoán phái sinh và các khoản lợi nhuận, quyền và lợi ích hợp pháp khác gắn liền với số tiền, chứng khoán phái sinh đó; cung cấp thông tin theo yêu cầu của công ty, trả phí giao dịch...);</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b) Quyền và nghĩa vụ của công ty chứng khoán (thu phí giao dịch, thực hiện các ủy quyền hợp pháp khác theo thỏa thuận với khách hàng; lưu giữ, quản lý tiền, chứng khoán phái sinh cho khách hàng, thực hiện giao dịch, bảo mật thông tin, cung cấp thông tin theo yêu cầu của khách hàng...);</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lastRenderedPageBreak/>
        <w:t>c) Quyền của thành viên bù trừ (sử dụng tài sản ký quỹ của nhà đầu tư để ký quỹ cho Tổng công ty lưu ký và bù trừ chứng khoán Việt Nam đối với vị thế mở của nhà đầu tư; có quyền đóng vị thế, sử dụng tài sản ký quỹ của nhà đầu tư trong trường hợp nhà đầu tư mất khả năng thanh toán...).</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b/>
          <w:bCs/>
          <w:color w:val="000000"/>
          <w:sz w:val="18"/>
          <w:szCs w:val="18"/>
        </w:rPr>
        <w:t>4. Điều khoản về các thỏa thuận khác</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xml:space="preserve">a) Trách nhiệm do </w:t>
      </w:r>
      <w:proofErr w:type="gramStart"/>
      <w:r w:rsidRPr="00CA655D">
        <w:rPr>
          <w:rFonts w:ascii="Arial" w:eastAsia="Times New Roman" w:hAnsi="Arial" w:cs="Arial"/>
          <w:color w:val="000000"/>
          <w:sz w:val="18"/>
          <w:szCs w:val="18"/>
        </w:rPr>
        <w:t>vi</w:t>
      </w:r>
      <w:proofErr w:type="gramEnd"/>
      <w:r w:rsidRPr="00CA655D">
        <w:rPr>
          <w:rFonts w:ascii="Arial" w:eastAsia="Times New Roman" w:hAnsi="Arial" w:cs="Arial"/>
          <w:color w:val="000000"/>
          <w:sz w:val="18"/>
          <w:szCs w:val="18"/>
        </w:rPr>
        <w:t xml:space="preserve"> phạm hợp đồng, điều khoản này nêu rõ:</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xml:space="preserve">- Khách hàng được bồi thường thiệt hại nếu công ty </w:t>
      </w:r>
      <w:proofErr w:type="gramStart"/>
      <w:r w:rsidRPr="00CA655D">
        <w:rPr>
          <w:rFonts w:ascii="Arial" w:eastAsia="Times New Roman" w:hAnsi="Arial" w:cs="Arial"/>
          <w:color w:val="000000"/>
          <w:sz w:val="18"/>
          <w:szCs w:val="18"/>
        </w:rPr>
        <w:t>vi</w:t>
      </w:r>
      <w:proofErr w:type="gramEnd"/>
      <w:r w:rsidRPr="00CA655D">
        <w:rPr>
          <w:rFonts w:ascii="Arial" w:eastAsia="Times New Roman" w:hAnsi="Arial" w:cs="Arial"/>
          <w:color w:val="000000"/>
          <w:sz w:val="18"/>
          <w:szCs w:val="18"/>
        </w:rPr>
        <w:t xml:space="preserve"> phạm nghĩa vụ quy định tại Hợp đồng này;</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xml:space="preserve">- Mức bồi thường thiệt hại: Do các bên thỏa thuận cụ thể hoặc </w:t>
      </w:r>
      <w:proofErr w:type="gramStart"/>
      <w:r w:rsidRPr="00CA655D">
        <w:rPr>
          <w:rFonts w:ascii="Arial" w:eastAsia="Times New Roman" w:hAnsi="Arial" w:cs="Arial"/>
          <w:color w:val="000000"/>
          <w:sz w:val="18"/>
          <w:szCs w:val="18"/>
        </w:rPr>
        <w:t>theo</w:t>
      </w:r>
      <w:proofErr w:type="gramEnd"/>
      <w:r w:rsidRPr="00CA655D">
        <w:rPr>
          <w:rFonts w:ascii="Arial" w:eastAsia="Times New Roman" w:hAnsi="Arial" w:cs="Arial"/>
          <w:color w:val="000000"/>
          <w:sz w:val="18"/>
          <w:szCs w:val="18"/>
        </w:rPr>
        <w:t xml:space="preserve"> quy định của pháp luật.</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b) Cách thức xử lý tài khoản trong trường hợp công ty bị đình chỉ hoạt động, hủy bỏ tư cách thành viên, điều chỉnh rút nghiệp vụ môi giới, giải thể hoặc bị thu hồi Giấy phép thành lập và hoạt động;</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c) Các trường hợp chấm dứt hợp đồng trước hạn;</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d) Thời gian có hiệu lực của hợp đồng;</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đ) Giải quyết tranh chấp phát sinh;</w:t>
      </w:r>
    </w:p>
    <w:p w:rsidR="00CA655D" w:rsidRPr="00CA655D" w:rsidRDefault="00CA655D" w:rsidP="00CA655D">
      <w:pPr>
        <w:shd w:val="clear" w:color="auto" w:fill="FFFFFF"/>
        <w:spacing w:before="120" w:after="120" w:line="234" w:lineRule="atLeast"/>
        <w:rPr>
          <w:rFonts w:ascii="Arial" w:eastAsia="Times New Roman" w:hAnsi="Arial" w:cs="Arial"/>
          <w:color w:val="000000"/>
          <w:sz w:val="18"/>
          <w:szCs w:val="18"/>
        </w:rPr>
      </w:pPr>
      <w:r w:rsidRPr="00CA655D">
        <w:rPr>
          <w:rFonts w:ascii="Arial" w:eastAsia="Times New Roman" w:hAnsi="Arial" w:cs="Arial"/>
          <w:color w:val="000000"/>
          <w:sz w:val="18"/>
          <w:szCs w:val="18"/>
        </w:rPr>
        <w:t xml:space="preserve">Các thỏa thuận khác </w:t>
      </w:r>
      <w:proofErr w:type="gramStart"/>
      <w:r w:rsidRPr="00CA655D">
        <w:rPr>
          <w:rFonts w:ascii="Arial" w:eastAsia="Times New Roman" w:hAnsi="Arial" w:cs="Arial"/>
          <w:color w:val="000000"/>
          <w:sz w:val="18"/>
          <w:szCs w:val="18"/>
        </w:rPr>
        <w:t>theo</w:t>
      </w:r>
      <w:proofErr w:type="gramEnd"/>
      <w:r w:rsidRPr="00CA655D">
        <w:rPr>
          <w:rFonts w:ascii="Arial" w:eastAsia="Times New Roman" w:hAnsi="Arial" w:cs="Arial"/>
          <w:color w:val="000000"/>
          <w:sz w:val="18"/>
          <w:szCs w:val="18"/>
        </w:rPr>
        <w:t xml:space="preserve"> thỏa thuận phù hợp với quy định của pháp luật.</w:t>
      </w:r>
    </w:p>
    <w:p w:rsidR="005B6519" w:rsidRDefault="00CA655D">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5D"/>
    <w:rsid w:val="00233F69"/>
    <w:rsid w:val="00543B0B"/>
    <w:rsid w:val="00CA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1FD9B-7B37-4DC7-82E3-A9DCE74E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5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8559">
      <w:bodyDiv w:val="1"/>
      <w:marLeft w:val="0"/>
      <w:marRight w:val="0"/>
      <w:marTop w:val="0"/>
      <w:marBottom w:val="0"/>
      <w:divBdr>
        <w:top w:val="none" w:sz="0" w:space="0" w:color="auto"/>
        <w:left w:val="none" w:sz="0" w:space="0" w:color="auto"/>
        <w:bottom w:val="none" w:sz="0" w:space="0" w:color="auto"/>
        <w:right w:val="none" w:sz="0" w:space="0" w:color="auto"/>
      </w:divBdr>
    </w:div>
    <w:div w:id="1277717341">
      <w:bodyDiv w:val="1"/>
      <w:marLeft w:val="0"/>
      <w:marRight w:val="0"/>
      <w:marTop w:val="0"/>
      <w:marBottom w:val="0"/>
      <w:divBdr>
        <w:top w:val="none" w:sz="0" w:space="0" w:color="auto"/>
        <w:left w:val="none" w:sz="0" w:space="0" w:color="auto"/>
        <w:bottom w:val="none" w:sz="0" w:space="0" w:color="auto"/>
        <w:right w:val="none" w:sz="0" w:space="0" w:color="auto"/>
      </w:divBdr>
    </w:div>
    <w:div w:id="1508516456">
      <w:bodyDiv w:val="1"/>
      <w:marLeft w:val="0"/>
      <w:marRight w:val="0"/>
      <w:marTop w:val="0"/>
      <w:marBottom w:val="0"/>
      <w:divBdr>
        <w:top w:val="none" w:sz="0" w:space="0" w:color="auto"/>
        <w:left w:val="none" w:sz="0" w:space="0" w:color="auto"/>
        <w:bottom w:val="none" w:sz="0" w:space="0" w:color="auto"/>
        <w:right w:val="none" w:sz="0" w:space="0" w:color="auto"/>
      </w:divBdr>
      <w:divsChild>
        <w:div w:id="1206261347">
          <w:marLeft w:val="0"/>
          <w:marRight w:val="0"/>
          <w:marTop w:val="0"/>
          <w:marBottom w:val="0"/>
          <w:divBdr>
            <w:top w:val="none" w:sz="0" w:space="0" w:color="auto"/>
            <w:left w:val="none" w:sz="0" w:space="0" w:color="auto"/>
            <w:bottom w:val="none" w:sz="0" w:space="0" w:color="auto"/>
            <w:right w:val="none" w:sz="0" w:space="0" w:color="auto"/>
          </w:divBdr>
          <w:divsChild>
            <w:div w:id="926235641">
              <w:marLeft w:val="0"/>
              <w:marRight w:val="0"/>
              <w:marTop w:val="0"/>
              <w:marBottom w:val="0"/>
              <w:divBdr>
                <w:top w:val="single" w:sz="12" w:space="0" w:color="F89B1A"/>
                <w:left w:val="single" w:sz="6" w:space="0" w:color="C8D4DB"/>
                <w:bottom w:val="none" w:sz="0" w:space="0" w:color="auto"/>
                <w:right w:val="single" w:sz="6" w:space="0" w:color="C8D4DB"/>
              </w:divBdr>
              <w:divsChild>
                <w:div w:id="2005088938">
                  <w:marLeft w:val="0"/>
                  <w:marRight w:val="0"/>
                  <w:marTop w:val="0"/>
                  <w:marBottom w:val="0"/>
                  <w:divBdr>
                    <w:top w:val="none" w:sz="0" w:space="0" w:color="auto"/>
                    <w:left w:val="none" w:sz="0" w:space="0" w:color="auto"/>
                    <w:bottom w:val="none" w:sz="0" w:space="0" w:color="auto"/>
                    <w:right w:val="none" w:sz="0" w:space="0" w:color="auto"/>
                  </w:divBdr>
                  <w:divsChild>
                    <w:div w:id="1623609676">
                      <w:marLeft w:val="0"/>
                      <w:marRight w:val="0"/>
                      <w:marTop w:val="0"/>
                      <w:marBottom w:val="0"/>
                      <w:divBdr>
                        <w:top w:val="none" w:sz="0" w:space="0" w:color="auto"/>
                        <w:left w:val="none" w:sz="0" w:space="0" w:color="auto"/>
                        <w:bottom w:val="none" w:sz="0" w:space="0" w:color="auto"/>
                        <w:right w:val="none" w:sz="0" w:space="0" w:color="auto"/>
                      </w:divBdr>
                      <w:divsChild>
                        <w:div w:id="1111320695">
                          <w:marLeft w:val="0"/>
                          <w:marRight w:val="225"/>
                          <w:marTop w:val="0"/>
                          <w:marBottom w:val="0"/>
                          <w:divBdr>
                            <w:top w:val="none" w:sz="0" w:space="0" w:color="auto"/>
                            <w:left w:val="none" w:sz="0" w:space="0" w:color="auto"/>
                            <w:bottom w:val="none" w:sz="0" w:space="0" w:color="auto"/>
                            <w:right w:val="none" w:sz="0" w:space="0" w:color="auto"/>
                          </w:divBdr>
                          <w:divsChild>
                            <w:div w:id="167257856">
                              <w:marLeft w:val="0"/>
                              <w:marRight w:val="0"/>
                              <w:marTop w:val="0"/>
                              <w:marBottom w:val="0"/>
                              <w:divBdr>
                                <w:top w:val="none" w:sz="0" w:space="0" w:color="auto"/>
                                <w:left w:val="none" w:sz="0" w:space="0" w:color="auto"/>
                                <w:bottom w:val="none" w:sz="0" w:space="0" w:color="auto"/>
                                <w:right w:val="none" w:sz="0" w:space="0" w:color="auto"/>
                              </w:divBdr>
                              <w:divsChild>
                                <w:div w:id="1569152240">
                                  <w:marLeft w:val="0"/>
                                  <w:marRight w:val="0"/>
                                  <w:marTop w:val="0"/>
                                  <w:marBottom w:val="0"/>
                                  <w:divBdr>
                                    <w:top w:val="none" w:sz="0" w:space="0" w:color="auto"/>
                                    <w:left w:val="none" w:sz="0" w:space="0" w:color="auto"/>
                                    <w:bottom w:val="none" w:sz="0" w:space="0" w:color="auto"/>
                                    <w:right w:val="none" w:sz="0" w:space="0" w:color="auto"/>
                                  </w:divBdr>
                                  <w:divsChild>
                                    <w:div w:id="19696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40959">
                          <w:marLeft w:val="0"/>
                          <w:marRight w:val="0"/>
                          <w:marTop w:val="150"/>
                          <w:marBottom w:val="0"/>
                          <w:divBdr>
                            <w:top w:val="none" w:sz="0" w:space="0" w:color="auto"/>
                            <w:left w:val="none" w:sz="0" w:space="0" w:color="auto"/>
                            <w:bottom w:val="none" w:sz="0" w:space="0" w:color="auto"/>
                            <w:right w:val="none" w:sz="0" w:space="0" w:color="auto"/>
                          </w:divBdr>
                          <w:divsChild>
                            <w:div w:id="269168502">
                              <w:marLeft w:val="0"/>
                              <w:marRight w:val="0"/>
                              <w:marTop w:val="0"/>
                              <w:marBottom w:val="0"/>
                              <w:divBdr>
                                <w:top w:val="single" w:sz="2" w:space="0" w:color="BDC8D5"/>
                                <w:left w:val="single" w:sz="2" w:space="0" w:color="BDC8D5"/>
                                <w:bottom w:val="single" w:sz="2" w:space="8" w:color="BDC8D5"/>
                                <w:right w:val="single" w:sz="2" w:space="0" w:color="BDC8D5"/>
                              </w:divBdr>
                              <w:divsChild>
                                <w:div w:id="1141120046">
                                  <w:marLeft w:val="0"/>
                                  <w:marRight w:val="0"/>
                                  <w:marTop w:val="0"/>
                                  <w:marBottom w:val="150"/>
                                  <w:divBdr>
                                    <w:top w:val="single" w:sz="6" w:space="4" w:color="DCE8F3"/>
                                    <w:left w:val="single" w:sz="6" w:space="4" w:color="DCE8F3"/>
                                    <w:bottom w:val="single" w:sz="6" w:space="4" w:color="DCE8F3"/>
                                    <w:right w:val="single" w:sz="6" w:space="4" w:color="DCE8F3"/>
                                  </w:divBdr>
                                  <w:divsChild>
                                    <w:div w:id="1469322017">
                                      <w:marLeft w:val="-75"/>
                                      <w:marRight w:val="-75"/>
                                      <w:marTop w:val="0"/>
                                      <w:marBottom w:val="0"/>
                                      <w:divBdr>
                                        <w:top w:val="none" w:sz="0" w:space="0" w:color="auto"/>
                                        <w:left w:val="none" w:sz="0" w:space="0" w:color="auto"/>
                                        <w:bottom w:val="none" w:sz="0" w:space="0" w:color="auto"/>
                                        <w:right w:val="none" w:sz="0" w:space="0" w:color="auto"/>
                                      </w:divBdr>
                                    </w:div>
                                    <w:div w:id="2074545712">
                                      <w:marLeft w:val="0"/>
                                      <w:marRight w:val="0"/>
                                      <w:marTop w:val="0"/>
                                      <w:marBottom w:val="0"/>
                                      <w:divBdr>
                                        <w:top w:val="none" w:sz="0" w:space="0" w:color="auto"/>
                                        <w:left w:val="none" w:sz="0" w:space="0" w:color="auto"/>
                                        <w:bottom w:val="none" w:sz="0" w:space="0" w:color="auto"/>
                                        <w:right w:val="none" w:sz="0" w:space="0" w:color="auto"/>
                                      </w:divBdr>
                                      <w:divsChild>
                                        <w:div w:id="2142574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2025-04-09T16:12:00Z</dcterms:created>
  <dcterms:modified xsi:type="dcterms:W3CDTF">2025-04-09T16:14:00Z</dcterms:modified>
</cp:coreProperties>
</file>