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850430" w:rsidRPr="00850430" w14:paraId="23326D50" w14:textId="77777777" w:rsidTr="00850430">
        <w:tc>
          <w:tcPr>
            <w:tcW w:w="2250" w:type="pct"/>
            <w:hideMark/>
          </w:tcPr>
          <w:p w14:paraId="662609A9" w14:textId="77777777" w:rsidR="00850430" w:rsidRPr="00850430" w:rsidRDefault="00850430" w:rsidP="00850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TƯỚNG CHÍNH PHỦ</w:t>
            </w:r>
            <w:r w:rsidRPr="008504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751/QĐ-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TTg</w:t>
            </w:r>
            <w:proofErr w:type="spellEnd"/>
          </w:p>
        </w:tc>
        <w:tc>
          <w:tcPr>
            <w:tcW w:w="2700" w:type="pct"/>
            <w:hideMark/>
          </w:tcPr>
          <w:p w14:paraId="5C4D7947" w14:textId="77777777" w:rsidR="00850430" w:rsidRPr="00850430" w:rsidRDefault="00850430" w:rsidP="00850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Hà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Nội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2025</w:t>
            </w:r>
          </w:p>
        </w:tc>
      </w:tr>
    </w:tbl>
    <w:p w14:paraId="60986BB4" w14:textId="77777777" w:rsidR="00850430" w:rsidRPr="00850430" w:rsidRDefault="00850430" w:rsidP="0085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5268C9D5" w14:textId="77777777" w:rsidR="00850430" w:rsidRPr="00850430" w:rsidRDefault="00850430" w:rsidP="0085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14:paraId="1913CA5F" w14:textId="77777777" w:rsidR="00850430" w:rsidRPr="00850430" w:rsidRDefault="00850430" w:rsidP="008504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QUYẾT ĐỊNH</w:t>
      </w:r>
    </w:p>
    <w:p w14:paraId="274757C2" w14:textId="77777777" w:rsidR="00850430" w:rsidRPr="00850430" w:rsidRDefault="00850430" w:rsidP="008504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Về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lập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về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br/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tồn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đọng</w:t>
      </w:r>
      <w:proofErr w:type="spellEnd"/>
    </w:p>
    <w:p w14:paraId="76FE7E9F" w14:textId="77777777" w:rsidR="00850430" w:rsidRPr="00850430" w:rsidRDefault="00850430" w:rsidP="008504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________</w:t>
      </w:r>
    </w:p>
    <w:p w14:paraId="1C4C8F1A" w14:textId="77777777" w:rsidR="00850430" w:rsidRPr="00850430" w:rsidRDefault="00850430" w:rsidP="008504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THỦ TƯỚNG CHÍNH PHỦ</w:t>
      </w:r>
    </w:p>
    <w:p w14:paraId="401A9D4E" w14:textId="77777777" w:rsidR="00850430" w:rsidRPr="00850430" w:rsidRDefault="00850430" w:rsidP="0085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14:paraId="58119067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Căn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cứ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Luật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18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02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2025;</w:t>
      </w:r>
    </w:p>
    <w:p w14:paraId="34DD9BCE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Căn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cứ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23/2023/QĐ-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18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9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2023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về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lập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phối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hợp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;</w:t>
      </w:r>
    </w:p>
    <w:p w14:paraId="34AF0641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Theo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nghị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Văn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phòng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i/>
          <w:iCs/>
          <w:color w:val="000000"/>
          <w:sz w:val="26"/>
          <w:szCs w:val="26"/>
        </w:rPr>
        <w:t>.</w:t>
      </w:r>
    </w:p>
    <w:p w14:paraId="398FABFA" w14:textId="77777777" w:rsidR="00850430" w:rsidRPr="00850430" w:rsidRDefault="00850430" w:rsidP="0085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57C570C8" w14:textId="77777777" w:rsidR="00850430" w:rsidRPr="00850430" w:rsidRDefault="00850430" w:rsidP="008504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QUYẾT ĐỊNH:</w:t>
      </w:r>
    </w:p>
    <w:p w14:paraId="4C849620" w14:textId="77777777" w:rsidR="00850430" w:rsidRPr="00850430" w:rsidRDefault="00850430" w:rsidP="0085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 </w:t>
      </w:r>
    </w:p>
    <w:p w14:paraId="158031EE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1. </w:t>
      </w: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Thành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đọng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 (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đây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tắt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720824F1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Ban: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Hòa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Bình,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Thường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D7E1535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Ban: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Văn Thắng,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Tài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9005C36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3. Các Thành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bao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0DDE41D0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Hải Ninh,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;</w:t>
      </w:r>
      <w:proofErr w:type="gramEnd"/>
    </w:p>
    <w:p w14:paraId="228F72E6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Đỗ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Đức Duy,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Môi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trường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7437AD14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Hồng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Công Thương;</w:t>
      </w:r>
    </w:p>
    <w:p w14:paraId="16F7DC11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Trần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Hồng Minh,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Xây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3DC23F22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Đào Hồng Lan,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tế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5FFCD5B7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Đồng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Thị Hồng,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Thống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đốc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Ngân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hàng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Việt Nam;</w:t>
      </w:r>
    </w:p>
    <w:p w14:paraId="019FA992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Văn Dũng,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Tòa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cao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65390294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Phạm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Thế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Tùng,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Thứ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Công an;</w:t>
      </w:r>
    </w:p>
    <w:p w14:paraId="5724DEFA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Đỗ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Thành Trung,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Thứ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Tài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3C8B01C0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Văn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Thứ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Xây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3BCEEFED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Phạm Mạnh Cường,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Văn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phòng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0CD73463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Dương Quốc Huy,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Thanh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370172E9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Nguyễn Quang Dũng,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Viện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Viện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cao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14:paraId="4DA23048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-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Trần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Minh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toán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6223199D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mời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thêm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lãnh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một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tham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Thành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yêu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lãnh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cần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thiết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họp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79A859B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2.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năng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đạo</w:t>
      </w:r>
      <w:proofErr w:type="spellEnd"/>
    </w:p>
    <w:p w14:paraId="7E0488E3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nghiên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cứu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khuyến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đọng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bao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0F0456CB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giữa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ngang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lastRenderedPageBreak/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đọng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bao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348253A2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3.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vụ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hạn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đạo</w:t>
      </w:r>
      <w:proofErr w:type="spellEnd"/>
    </w:p>
    <w:p w14:paraId="06CF35F0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Nghiên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cứu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trọng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đọng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bao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gồm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ngoài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nguồn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vốn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5654E19F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đôn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đốc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đây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14:paraId="11607BC3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a)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Rà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soát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rõ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phạm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vi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quản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nguyên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xuất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D78AA01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b)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đến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nhóm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hoặc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phép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trình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dẫn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từng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nhóm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tham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mưu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nhóm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vượt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91EAAC0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c)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đôn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đốc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kiểm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hợp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giải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khăn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mắc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mới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sinh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nếu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).</w:t>
      </w:r>
    </w:p>
    <w:p w14:paraId="08895F0C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d) Xem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sửa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sung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pháp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luật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những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vượt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thẩm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90FF3ED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3.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140D9727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4.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đạo</w:t>
      </w:r>
      <w:proofErr w:type="spellEnd"/>
    </w:p>
    <w:p w14:paraId="686C74A7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lastRenderedPageBreak/>
        <w:t xml:space="preserve">1. Các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kiêm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đề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cao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trách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Quy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3C4216E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Tài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chịu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trách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bảo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đảm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dụng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máy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mình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bảo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đảm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tăng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mối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chế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36434EFB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3.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tham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mưu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công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theo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lãnh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Tài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lãnh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ban,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. Thành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xem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xét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huy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mình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quản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lý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lập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Nhóm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giúp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mình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giao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4F39BABD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4.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hội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nghị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hội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thảo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khảo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làm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việc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tiếp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với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doanh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nghiệp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đầu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đơn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vị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;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thuê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vấn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hỗ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trợ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4BDD067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5. Kinh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phí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đạo</w:t>
      </w:r>
      <w:proofErr w:type="spellEnd"/>
    </w:p>
    <w:p w14:paraId="30F10744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Kinh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chỉ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đạo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do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sách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nước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bảo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đảm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kinh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hoạt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thường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xuyên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Tài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29B07B52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6. Hiệu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lực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trách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thi</w:t>
      </w:r>
      <w:proofErr w:type="spellEnd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b/>
          <w:bCs/>
          <w:color w:val="000000"/>
          <w:sz w:val="26"/>
          <w:szCs w:val="26"/>
        </w:rPr>
        <w:t>hành</w:t>
      </w:r>
      <w:proofErr w:type="spellEnd"/>
    </w:p>
    <w:p w14:paraId="7277B46E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1.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hiệu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kể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từ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7551D047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2.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thay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thế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1568/QĐ-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12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12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2024,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963/QĐ-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12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9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2024,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290/QĐ-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23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3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2023,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140/QĐ-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21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02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2023,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1244/QĐ-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25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10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2023,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1435/QĐ-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17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11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2022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số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1242/QĐ-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TTg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16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7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2021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tướng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14:paraId="5EB0186C" w14:textId="77777777" w:rsidR="00850430" w:rsidRPr="00850430" w:rsidRDefault="00850430" w:rsidP="0085043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3. Các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trưởng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ngang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bộ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Chính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Chủ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tịch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Ủy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ban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dân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tỉnh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phố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trực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thuộc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trung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ương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tại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Điều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1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tổ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cá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nhân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liên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chịu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trách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nhiệm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thi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Quyết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50430">
        <w:rPr>
          <w:rFonts w:ascii="Arial" w:eastAsia="Times New Roman" w:hAnsi="Arial" w:cs="Arial"/>
          <w:color w:val="000000"/>
          <w:sz w:val="26"/>
          <w:szCs w:val="26"/>
        </w:rPr>
        <w:t>này</w:t>
      </w:r>
      <w:proofErr w:type="spellEnd"/>
      <w:r w:rsidRPr="00850430">
        <w:rPr>
          <w:rFonts w:ascii="Arial" w:eastAsia="Times New Roman" w:hAnsi="Arial" w:cs="Arial"/>
          <w:color w:val="000000"/>
          <w:sz w:val="26"/>
          <w:szCs w:val="26"/>
        </w:rPr>
        <w:t>./.</w:t>
      </w:r>
    </w:p>
    <w:p w14:paraId="24A5BEFA" w14:textId="77777777" w:rsidR="00850430" w:rsidRPr="00850430" w:rsidRDefault="00850430" w:rsidP="008504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850430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0430" w:rsidRPr="00850430" w14:paraId="3691134B" w14:textId="77777777" w:rsidTr="00850430">
        <w:tc>
          <w:tcPr>
            <w:tcW w:w="2500" w:type="pct"/>
            <w:hideMark/>
          </w:tcPr>
          <w:p w14:paraId="059C4B33" w14:textId="77777777" w:rsidR="00850430" w:rsidRPr="00850430" w:rsidRDefault="00850430" w:rsidP="00850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Nơi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5043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Ban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Trung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ương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tướng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phủ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Các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ngang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thuộc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phủ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HĐND, UBND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thuộc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ương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Văn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Trung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ương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Văn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Văn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Văn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Quốc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Các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VPCP: BTCN,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PCN,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TGĐ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Cổng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TTĐT,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thuộc</w:t>
            </w:r>
            <w:proofErr w:type="spellEnd"/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50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 VT, CN (2).</w:t>
            </w:r>
          </w:p>
        </w:tc>
        <w:tc>
          <w:tcPr>
            <w:tcW w:w="2500" w:type="pct"/>
            <w:hideMark/>
          </w:tcPr>
          <w:p w14:paraId="57FD96DA" w14:textId="77777777" w:rsidR="00850430" w:rsidRPr="00850430" w:rsidRDefault="00850430" w:rsidP="00850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TƯỚNG</w:t>
            </w: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Phạm Minh </w:t>
            </w:r>
            <w:proofErr w:type="spellStart"/>
            <w:r w:rsidRPr="0085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Chính</w:t>
            </w:r>
            <w:proofErr w:type="spellEnd"/>
          </w:p>
        </w:tc>
      </w:tr>
    </w:tbl>
    <w:p w14:paraId="4C531BAF" w14:textId="77777777" w:rsidR="00CD1B41" w:rsidRDefault="00CD1B41"/>
    <w:sectPr w:rsidR="00CD1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30"/>
    <w:rsid w:val="00850430"/>
    <w:rsid w:val="00C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6FEB"/>
  <w15:chartTrackingRefBased/>
  <w15:docId w15:val="{C13AD71D-E57A-4FD7-8546-AB961AC9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muc4">
    <w:name w:val="demuc4"/>
    <w:basedOn w:val="DefaultParagraphFont"/>
    <w:rsid w:val="0085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2025-04-14T08:34:00Z</dcterms:created>
  <dcterms:modified xsi:type="dcterms:W3CDTF">2025-04-14T08:35:00Z</dcterms:modified>
</cp:coreProperties>
</file>