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B6AE" w14:textId="77777777" w:rsidR="007C3EA0" w:rsidRPr="00B038A1" w:rsidRDefault="007C3EA0" w:rsidP="007C3EA0">
      <w:pPr>
        <w:widowControl w:val="0"/>
        <w:autoSpaceDE w:val="0"/>
        <w:autoSpaceDN w:val="0"/>
        <w:adjustRightInd w:val="0"/>
        <w:spacing w:before="120"/>
        <w:jc w:val="center"/>
        <w:rPr>
          <w:rFonts w:ascii="Arial" w:hAnsi="Arial" w:cs="Arial"/>
          <w:b/>
          <w:szCs w:val="26"/>
        </w:rPr>
      </w:pPr>
      <w:r w:rsidRPr="00B038A1">
        <w:rPr>
          <w:rFonts w:ascii="Arial" w:hAnsi="Arial" w:cs="Arial"/>
          <w:b/>
          <w:szCs w:val="26"/>
        </w:rPr>
        <w:t>PHỤ LỤC IV</w:t>
      </w:r>
    </w:p>
    <w:p w14:paraId="40482341" w14:textId="77777777" w:rsidR="007C3EA0" w:rsidRPr="00B038A1" w:rsidRDefault="007C3EA0" w:rsidP="007C3EA0">
      <w:pPr>
        <w:widowControl w:val="0"/>
        <w:autoSpaceDE w:val="0"/>
        <w:autoSpaceDN w:val="0"/>
        <w:adjustRightInd w:val="0"/>
        <w:spacing w:before="120"/>
        <w:jc w:val="center"/>
        <w:rPr>
          <w:rFonts w:ascii="Arial" w:hAnsi="Arial" w:cs="Arial"/>
          <w:i/>
          <w:sz w:val="20"/>
          <w:szCs w:val="26"/>
        </w:rPr>
      </w:pPr>
      <w:r w:rsidRPr="00B038A1">
        <w:rPr>
          <w:rFonts w:ascii="Arial" w:hAnsi="Arial" w:cs="Arial"/>
          <w:sz w:val="20"/>
          <w:szCs w:val="26"/>
        </w:rPr>
        <w:t>HƯỚNG DẪN SỬ DỤNG PHIẾU A, PHIẾU B</w:t>
      </w:r>
      <w:r w:rsidRPr="00B038A1">
        <w:rPr>
          <w:rFonts w:ascii="Arial" w:hAnsi="Arial" w:cs="Arial"/>
          <w:sz w:val="20"/>
          <w:szCs w:val="26"/>
        </w:rPr>
        <w:br/>
      </w:r>
      <w:r w:rsidRPr="00B038A1">
        <w:rPr>
          <w:rFonts w:ascii="Arial" w:hAnsi="Arial" w:cs="Arial"/>
          <w:i/>
          <w:sz w:val="20"/>
          <w:szCs w:val="26"/>
        </w:rPr>
        <w:t>(Kèm theo Thông tư số 07/2021/TT-BLĐTBXH ngày 18 tháng 7 năm 2021 của Bộ trưởng Bộ Lao động - Thương binh và Xã hội)</w:t>
      </w:r>
    </w:p>
    <w:p w14:paraId="2A7D39C6"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I. QUY ƯỚC CHUNG</w:t>
      </w:r>
    </w:p>
    <w:p w14:paraId="211E2D82"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1. Hộ gia đình</w:t>
      </w:r>
    </w:p>
    <w:p w14:paraId="1DC4A022"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Hộ gia đình thuộc diện rà soát hộ nghèo, hộ cận nghèo là hộ gia đình có hộ khẩu thường trú hoặc đã đăng ký tạm trú và sinh sống từ 06 tháng trở lên trên địa bàn.</w:t>
      </w:r>
    </w:p>
    <w:p w14:paraId="1B3FEBE8"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2. Thành viên hộ gia đình</w:t>
      </w:r>
    </w:p>
    <w:p w14:paraId="7E49D58E"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a) Thành viên hộ gia đình gồm: ông nội, bà nội, ông ngoại, bà ngoại, cha, mẹ, vợ, chồng, con (con ruột, con nuôi hợp pháp, con dâu, con rể), anh ruột, chị ruột, em ruột, cháu ruột cùng ăn, ở chung từ 06 tháng trở lên trong năm và có chung quỹ thu chi (mọi khoản thu nhập của thành viên đều được đóng góp vào quỹ thu chung của hộ và mọi khoản chi tiêu của họ đều lấy từ quỹ đó).</w:t>
      </w:r>
    </w:p>
    <w:p w14:paraId="7192A437"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b) Một số trường hợp đặc biệt</w:t>
      </w:r>
    </w:p>
    <w:p w14:paraId="21B2C718"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Chủ hộ: kể cả người đó không ăn, ở cùng hộ gia đình từ 06 tháng trở lên nhưng vẫn tham gia vào quỹ thu chi của hộ gia đình.</w:t>
      </w:r>
    </w:p>
    <w:p w14:paraId="628CB9F6"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Người ăn, ở tại hộ chưa đủ 06 tháng, kể cả chưa có giấy chứng nhận (giấy đăng ký kết hôn, giấy xuất ngũ, giấy chứng sinh) nhưng tương lai sẽ ăn, ở chung lâu dài trong hộ như: con dâu về nhà chồng, con rể về nhà vợ; người đi làm việc, học tập, lao động ở trong nước, nước ngoài, xuất ngũ trở về hộ.</w:t>
      </w:r>
    </w:p>
    <w:p w14:paraId="4BC6EED4"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Người không ăn, ở cùng hộ gia đình từ 06 tháng/năm trở lên nhưng vẫn gửi thu nhập về cho gia đình hoặc đang đi học, gia đình vẫn phải nuôi dưỡng.</w:t>
      </w:r>
    </w:p>
    <w:p w14:paraId="29C51A67"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3. Việc làm</w:t>
      </w:r>
    </w:p>
    <w:p w14:paraId="09929DAA"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Người làm từ 02 công việc khác nhau trở lên thì chọn công việc chiếm nhiều thời gian nhất hoặc thu nhập nhiều nhất.</w:t>
      </w:r>
    </w:p>
    <w:p w14:paraId="58B737BB"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4. Nhà ở</w:t>
      </w:r>
    </w:p>
    <w:p w14:paraId="07E1EAE3"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a) Nhà ở gồm 03 bộ phận chủ yếu: tường/bao che, cột, mái.</w:t>
      </w:r>
    </w:p>
    <w:p w14:paraId="00FCB3CD"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b) Phân loại vật liệu của 03 bộ phận chủ yếu</w:t>
      </w:r>
    </w:p>
    <w:p w14:paraId="798A6ED3"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Tường/bao che bền chắc có vật liệu chính là 01 trong 03 loại: bê tông cốt thép; gạch/đá; gỗ/kim loại bền chắc.</w:t>
      </w:r>
    </w:p>
    <w:p w14:paraId="4ECA8D10"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Cột bền chắc có vật liệu chính là 01 trong 03 loại: bê tông cốt thép; gạch/đá; sắt/thép/gỗ bền chắc.</w:t>
      </w:r>
    </w:p>
    <w:p w14:paraId="4B92804B"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Mái bền chắc có vật liệu chính là 01 trong 03 loại: bê tông cốt thép; ngói (xi măng, đất nung); tấm lợp kim loại chuyên dụng.</w:t>
      </w:r>
    </w:p>
    <w:p w14:paraId="4E50A326"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c) Nhà ở bền chắc là nhà có từ 02 bộ phận chủ yếu bền chắc trở lên. Nhà ở không bền chắc là nhà có từ 02 bộ phận chủ yếu không bền chắc trở lên.</w:t>
      </w:r>
    </w:p>
    <w:p w14:paraId="068FC3D9"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d) Tổng diện tích nhà ở là diện tích của tất cả các nhà thành viên hộ gia đình đang ở (không phân biệt tình trạng nhà), không bao gồm diện tích: nhà tắm, nhà vệ sinh, bếp, kho, nơi kinh doanh/cho thuê; diện tích gác xép được tính bằng 50% diện tích nhà ở.</w:t>
      </w:r>
    </w:p>
    <w:p w14:paraId="5459038B"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đ) Diện tích ở bình quân đầu người được tính bằng tổng diện tích nhà ở chia cho tổng số thành viên trong hộ gia đình.</w:t>
      </w:r>
    </w:p>
    <w:p w14:paraId="75E9CFAC"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5. Tiêu thụ điện</w:t>
      </w:r>
    </w:p>
    <w:p w14:paraId="25D0F412"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Mức tiêu thụ điện bình quân 01 tháng của hộ gia đình tính bằng mức tiêu thụ bình quân theo hóa đơn tiền điện trong 12 tháng gần nhất hoặc mức tiêu thụ điện của tháng gần nhất.</w:t>
      </w:r>
    </w:p>
    <w:p w14:paraId="5C30104F"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xml:space="preserve">Nếu hộ gia đình sử dụng điện không sử dụng điện lưới hoặc chung công tơ với hộ gia đình khác thì ước </w:t>
      </w:r>
      <w:r w:rsidRPr="00B038A1">
        <w:rPr>
          <w:rFonts w:ascii="Arial" w:hAnsi="Arial" w:cs="Arial"/>
          <w:sz w:val="20"/>
        </w:rPr>
        <w:lastRenderedPageBreak/>
        <w:t>tính lượng điện tiêu thụ trên cơ sở các thiết bị tiêu thụ điện của hộ gia đình.</w:t>
      </w:r>
    </w:p>
    <w:p w14:paraId="3AEE8243"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6. Nước sinh hoạt</w:t>
      </w:r>
    </w:p>
    <w:p w14:paraId="6B081CD4"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Nước sạch trong sinh hoạt gồm: nước máy, nước giếng khoan, giếng đào được bảo vệ, nước khe/mó được bảo vệ và nước mua, nước đóng chai bình.</w:t>
      </w:r>
    </w:p>
    <w:p w14:paraId="3146DEB6"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7. Nhà tiêu</w:t>
      </w:r>
    </w:p>
    <w:p w14:paraId="06DAC2F7"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Nhà tiêu (nhà vệ sinh/hố xí) hợp vệ sinh thông dụng hiện nay gồm:</w:t>
      </w:r>
    </w:p>
    <w:p w14:paraId="11761EDA"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Nhà tiêu tự hoại, bán tự hoại: Phần nhà tiêu bao gồm bệ xí, mái che và tường bao quanh. Phần bể tự hoại (bể phốt) chia làm nhiều ngăn trong đó 1 ngăn chứa, 1 ngăn lắng, bể tự hoại có ngăn lọc hiếu khí có nhiều lớp sỏi cuội để lọc nước thải trước khi chảy ra ngoài.</w:t>
      </w:r>
    </w:p>
    <w:p w14:paraId="7B8A4F9B"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Nhà tiêu thấm dội nước (Suilabh): cấu tạo gồm 1 bệ xí, xiphoong cổ ngỗng để tạo nước hút, ống dẫn phân chữ Y ngược. Bể tự thấm có nắp kín, khi xây thành còn để cách vách đất từ 5-10 cm để chèn một lớp cát xung quanh làm tăng khả năng lọc cho bể. Đáy bể chứa không xây. Các thành bể xây bỏ trống nhiều lỗ thấm.</w:t>
      </w:r>
    </w:p>
    <w:p w14:paraId="041CF947"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Nhà tiêu cải tiến có ống thông hơi (VIP), nhà tiêu hai ngăn: phần nhà tiêu bao gồm bệ xí, mái che và tường bao quanh; hố tập trung và ủ phân gồm 2 ngăn riêng biệt, mỗi ngăn có 01 bệ xí và một cửa lấy phân sau khi ủ. Trên nắp bệ xí có tạo rãnh thoát nước tiểu riêng. Nhà tiêu cải tiến có thêm ống thông hơi.</w:t>
      </w:r>
    </w:p>
    <w:p w14:paraId="6693D7F5"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8. Tài sản của hộ gia đình</w:t>
      </w:r>
    </w:p>
    <w:p w14:paraId="50D0B090"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Tài sản là tài sản hộ gia đình đang sử dụng hoặc bị hỏng nhưng có khả năng sửa chữa được, không phân biệt do tự mua, được cho, biếu, tặng.</w:t>
      </w:r>
    </w:p>
    <w:p w14:paraId="711266FE"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9. Diện tích đất đai</w:t>
      </w:r>
    </w:p>
    <w:p w14:paraId="6A060094"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Diện tích đất đai của hộ gia đình gồm diện tích đất hộ gia đình đang sở hữu, diện tích đi thuê để khai thác, sử dụng. Diện tích đất hộ gia đình cho hộ khác thuê để khai thác, sử dụng thì diện tích đất đó được tính cho cả hộ cho thuê và hộ đi thuê.</w:t>
      </w:r>
    </w:p>
    <w:p w14:paraId="03511399"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II. NHẬN DẠNG NHANH HỘ GIA ĐÌNH</w:t>
      </w:r>
    </w:p>
    <w:p w14:paraId="5869824A"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Phiếu A dùng để nhận dạng nhanh hộ gia đình không thuộc diện hộ nghèo, hộ</w:t>
      </w:r>
    </w:p>
    <w:p w14:paraId="62B82314"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cận nghèo, không cần rà soát Phiếu B.</w:t>
      </w:r>
    </w:p>
    <w:p w14:paraId="4D26B113"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xml:space="preserve">1. Phiếu A được sử dụng: đánh số theo thứ tự từ 1 đến hết cho mỗi địa bàn thôn/tổ/ấp vào dòng </w:t>
      </w:r>
      <w:r w:rsidRPr="00B038A1">
        <w:rPr>
          <w:rFonts w:ascii="Arial" w:hAnsi="Arial" w:cs="Arial"/>
          <w:b/>
          <w:i/>
          <w:sz w:val="20"/>
        </w:rPr>
        <w:t>Tờ số … /…</w:t>
      </w:r>
      <w:r w:rsidRPr="00B038A1">
        <w:rPr>
          <w:rFonts w:ascii="Arial" w:hAnsi="Arial" w:cs="Arial"/>
          <w:sz w:val="20"/>
        </w:rPr>
        <w:t xml:space="preserve"> N …., trong đó N là tổng số Phiếu A tại địa bàn.</w:t>
      </w:r>
    </w:p>
    <w:p w14:paraId="6063F493"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Ví dụ: một thôn sử dụng 2 Phiếu A thì đánh 1/2 ở tờ thứ nhất và 2/2 ở tờ thứ 2.</w:t>
      </w:r>
    </w:p>
    <w:p w14:paraId="75AAA0F6"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2. Địa chỉ của hộ gia đình gồm: ghi rõ tên tỉnh/thành phố, quận/huyện/thị xã/thành phố trực thuộc tỉnh; xã/phường/thị trấn và mã theo bảng mã hành chính của Tổng cục Thống kê.</w:t>
      </w:r>
    </w:p>
    <w:p w14:paraId="2DEDFD59"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Thông tin về thôn/tổ dân phố/ấp: ghi rõ tên; cấp xã quy định ghi mã theo thứ tự từ 1 đến hết.</w:t>
      </w:r>
    </w:p>
    <w:p w14:paraId="1E1CFC1A"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3. Cột A - STT: Ghi số thứ tự của hộ gia đình trong thôn từ 1 tới N, trong đó N là tổng số hộ gia đình tại thôn/tổ/ấp được rà soát Phiếu A.</w:t>
      </w:r>
    </w:p>
    <w:p w14:paraId="590030D5"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Cột B - Họ và tên chủ hộ: viết in hoa theo sổ hộ khẩu, giấy tạm trú, căn cước công dân hoặc chứng minh nhân dân.</w:t>
      </w:r>
    </w:p>
    <w:p w14:paraId="775E4ED7"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Nếu có từ 02 chủ hộ trùng họ và tên trên địa bàn thì ghi thêm số thứ tự vào sau tên chủ hộ.</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CellMar>
          <w:left w:w="0" w:type="dxa"/>
          <w:right w:w="0" w:type="dxa"/>
        </w:tblCellMar>
        <w:tblLook w:val="01E0" w:firstRow="1" w:lastRow="1" w:firstColumn="1" w:lastColumn="1" w:noHBand="0" w:noVBand="0"/>
      </w:tblPr>
      <w:tblGrid>
        <w:gridCol w:w="9354"/>
      </w:tblGrid>
      <w:tr w:rsidR="007C3EA0" w:rsidRPr="00B038A1" w14:paraId="3AF02473" w14:textId="77777777" w:rsidTr="0061055E">
        <w:tc>
          <w:tcPr>
            <w:tcW w:w="5000" w:type="pct"/>
            <w:shd w:val="clear" w:color="auto" w:fill="auto"/>
          </w:tcPr>
          <w:p w14:paraId="78038AC8" w14:textId="77777777" w:rsidR="007C3EA0" w:rsidRPr="00B038A1" w:rsidRDefault="007C3EA0" w:rsidP="0061055E">
            <w:pPr>
              <w:widowControl w:val="0"/>
              <w:autoSpaceDE w:val="0"/>
              <w:autoSpaceDN w:val="0"/>
              <w:adjustRightInd w:val="0"/>
              <w:spacing w:before="120"/>
              <w:rPr>
                <w:rFonts w:ascii="Arial" w:hAnsi="Arial" w:cs="Arial"/>
                <w:sz w:val="20"/>
              </w:rPr>
            </w:pPr>
            <w:r w:rsidRPr="00B038A1">
              <w:rPr>
                <w:rFonts w:ascii="Arial" w:hAnsi="Arial" w:cs="Arial"/>
                <w:sz w:val="20"/>
              </w:rPr>
              <w:t>Ví dụ: có 2 chủ hộ cùng tên Nguyễn Văn Sỹ, hộ đầu tiên ghi là Nguyễn Văn Sỹ (1), hộ thứ hai ghi là Nguyễn Văn Sỹ (2).</w:t>
            </w:r>
          </w:p>
        </w:tc>
      </w:tr>
    </w:tbl>
    <w:p w14:paraId="29B32B1E"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Cột C - Ngày rà soát: ghi ngày đến thu thập thông tin tại hộ gia đình.</w:t>
      </w:r>
    </w:p>
    <w:p w14:paraId="5989E17C"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Cột 0 - Nhận diện nhanh: Hộ không thuộc đối tượng rà soát hộ nghèo, hộ cận nghèo là hộ có một trong 05 điều kiện ở phần Ghi chú của Phiếu A, ghi mã 0.</w:t>
      </w:r>
    </w:p>
    <w:p w14:paraId="199C25BF"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Hộ thuộc đối tượng rà soát hộ nghèo, hộ cận nghèo, rà soát viên ghi mã 1, rà soát thông tin từ cột 1 đến cột 9.</w:t>
      </w:r>
    </w:p>
    <w:p w14:paraId="1660BFBF"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Cột D - Tổng số: Ghi tổng số mã 1 từ cột 1 đến cột 9.</w:t>
      </w:r>
    </w:p>
    <w:p w14:paraId="18A8AE13"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Cột G - Chữ ký và xác nhận của hộ gia đình: hộ gia đình đã qua rà soát phải cử đại diện ký tên xác nhận.</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CellMar>
          <w:left w:w="0" w:type="dxa"/>
          <w:right w:w="0" w:type="dxa"/>
        </w:tblCellMar>
        <w:tblLook w:val="01E0" w:firstRow="1" w:lastRow="1" w:firstColumn="1" w:lastColumn="1" w:noHBand="0" w:noVBand="0"/>
      </w:tblPr>
      <w:tblGrid>
        <w:gridCol w:w="9354"/>
      </w:tblGrid>
      <w:tr w:rsidR="007C3EA0" w:rsidRPr="00B038A1" w14:paraId="74D77BC3" w14:textId="77777777" w:rsidTr="0061055E">
        <w:tc>
          <w:tcPr>
            <w:tcW w:w="5000" w:type="pct"/>
            <w:shd w:val="clear" w:color="auto" w:fill="auto"/>
          </w:tcPr>
          <w:p w14:paraId="1A2ABE69" w14:textId="77777777" w:rsidR="007C3EA0" w:rsidRPr="00B038A1" w:rsidRDefault="007C3EA0" w:rsidP="0061055E">
            <w:pPr>
              <w:widowControl w:val="0"/>
              <w:autoSpaceDE w:val="0"/>
              <w:autoSpaceDN w:val="0"/>
              <w:adjustRightInd w:val="0"/>
              <w:spacing w:before="120"/>
              <w:rPr>
                <w:rFonts w:ascii="Arial" w:hAnsi="Arial" w:cs="Arial"/>
                <w:sz w:val="20"/>
              </w:rPr>
            </w:pPr>
            <w:r w:rsidRPr="00B038A1">
              <w:rPr>
                <w:rFonts w:ascii="Arial" w:hAnsi="Arial" w:cs="Arial"/>
                <w:sz w:val="20"/>
              </w:rPr>
              <w:t>Ví dụ:</w:t>
            </w:r>
          </w:p>
        </w:tc>
      </w:tr>
    </w:tbl>
    <w:p w14:paraId="09B3DBD5" w14:textId="77777777" w:rsidR="007C3EA0" w:rsidRPr="00B038A1" w:rsidRDefault="007C3EA0" w:rsidP="007C3EA0">
      <w:pPr>
        <w:widowControl w:val="0"/>
        <w:autoSpaceDE w:val="0"/>
        <w:autoSpaceDN w:val="0"/>
        <w:adjustRightInd w:val="0"/>
        <w:spacing w:before="120"/>
        <w:rPr>
          <w:rFonts w:ascii="Arial" w:hAnsi="Arial" w:cs="Arial"/>
          <w:sz w:val="20"/>
        </w:rPr>
      </w:pPr>
    </w:p>
    <w:p w14:paraId="540534BF" w14:textId="617FF331"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noProof/>
          <w:sz w:val="20"/>
        </w:rPr>
        <w:drawing>
          <wp:inline distT="0" distB="0" distL="0" distR="0" wp14:anchorId="54488809" wp14:editId="2F3A0FE1">
            <wp:extent cx="5476875" cy="243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6875" cy="2438400"/>
                    </a:xfrm>
                    <a:prstGeom prst="rect">
                      <a:avLst/>
                    </a:prstGeom>
                    <a:noFill/>
                    <a:ln>
                      <a:noFill/>
                    </a:ln>
                  </pic:spPr>
                </pic:pic>
              </a:graphicData>
            </a:graphic>
          </wp:inline>
        </w:drawing>
      </w:r>
    </w:p>
    <w:p w14:paraId="66C57055"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III. THU THẬP THÔNG TIN HỘ GIA ĐÌNH PHIẾU B1</w:t>
      </w:r>
    </w:p>
    <w:p w14:paraId="3F734AC4"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1. Thông tin chung</w:t>
      </w:r>
    </w:p>
    <w:p w14:paraId="45080B88"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Khu vực: thành thị ghi mã 1, nông thôn ghi mã 2.</w:t>
      </w:r>
    </w:p>
    <w:p w14:paraId="60AF4170"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Dân tộc của chủ hộ: ghi mã theo quy định của Tổng cục Thống kê.</w:t>
      </w:r>
    </w:p>
    <w:p w14:paraId="3E6E4825"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Địa chỉ của hộ gia đình: ghi rõ tên tỉnh/thành phố, quận/huyện/thị xã/thành phố trực thuộc tỉnh; xã/phường/thị trấn và mã theo bảng mã hành chính của Tổng cục Thống kê.</w:t>
      </w:r>
    </w:p>
    <w:p w14:paraId="27D280D8"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Thôn/tổ dân phố/ấp: ghi rõ tên; cấp xã quy định ghi mã theo thứ tự từ 1 đến hết.</w:t>
      </w:r>
    </w:p>
    <w:p w14:paraId="51A5AA4C"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Họ và tên chủ hộ: viết in hoa theo sổ hộ khẩu, giấy tạm trú, căn cước công dân hoặc chứng minh nhân dân.</w:t>
      </w:r>
    </w:p>
    <w:p w14:paraId="5B82F88E"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Nếu có từ 02 chủ hộ trùng họ và tên trên địa bàn thì ghi thêm số thứ tự vào sau tên chủ hộ.</w:t>
      </w:r>
    </w:p>
    <w:p w14:paraId="4A863C59"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Mã hộ: ghi thứ tự từ 1 đến hết theo danh sách rà soát của thôn/ấp/tổ đã lập.</w:t>
      </w:r>
    </w:p>
    <w:p w14:paraId="1AC5F73A"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Phân loại hộ theo kết quả rà soát năm trước kỳ rà soát: đánh dấu X vào ô tương ứng 1 trong 3 loại hộ nghèo, hộ cận nghèo hoặc hộ không nghèo.</w:t>
      </w:r>
    </w:p>
    <w:p w14:paraId="37AA3E31"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2. Thông tin chi tiết về hộ gia đình</w:t>
      </w:r>
    </w:p>
    <w:p w14:paraId="1920BAA4"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từ I - III: đánh dấu X vào ô tương ứng với loại vật liệu chính sử dụng làm tường/bao che, cột nhà, mái.</w:t>
      </w:r>
    </w:p>
    <w:p w14:paraId="17A4DB14"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Nếu có nhiều hơn 1 loại vật liệu thì chọn loại vật liệu chính. Nhà không có cột thì vật liệu chính của phần chịu lực chủ yếu của tường đỡ trần/mái được coi là vật liệu chính của cột nhà (ví dụ góc tường của ngôi nhà).</w:t>
      </w:r>
    </w:p>
    <w:p w14:paraId="2A755C45"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xml:space="preserve">- Chỉ tiêu V: đánh dấu X vào ô tương ứng loại nhà tiêu đang sử dụng. Nếu hộ gia đình không sử dụng các loại như đã liệt kê, (ví dụ cầu cá, đi ra biển, đi trong rừng …) thì đánh dấu X vào ô số 4. </w:t>
      </w:r>
      <w:r w:rsidRPr="00B038A1">
        <w:rPr>
          <w:rFonts w:ascii="Arial" w:hAnsi="Arial" w:cs="Arial"/>
          <w:i/>
          <w:sz w:val="20"/>
        </w:rPr>
        <w:t>Khác</w:t>
      </w:r>
      <w:r w:rsidRPr="00B038A1">
        <w:rPr>
          <w:rFonts w:ascii="Arial" w:hAnsi="Arial" w:cs="Arial"/>
          <w:sz w:val="20"/>
        </w:rPr>
        <w:t xml:space="preserve"> và ghi rõ loại nhà tiêu.</w:t>
      </w:r>
    </w:p>
    <w:p w14:paraId="736179E9"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VII: ghi rõ số lượng điện tiêu thụ bình quân 1 tháng.</w:t>
      </w:r>
    </w:p>
    <w:p w14:paraId="7D8EDE58"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VIII: đánh dấu X vào ô tương ứng loại nước sinh hoạt hộ dùng thường xuyên nhất.</w:t>
      </w:r>
    </w:p>
    <w:p w14:paraId="6CF4DC2A"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IX: ghi rõ số lượng (1, 2, 3,…) mỗi loại tài sản vào ô tương ứng. Tài sản không có ghi 00.</w:t>
      </w:r>
    </w:p>
    <w:p w14:paraId="08AF1D64"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X: ghi rõ diện tích theo m</w:t>
      </w:r>
      <w:r w:rsidRPr="00B038A1">
        <w:rPr>
          <w:rFonts w:ascii="Arial" w:hAnsi="Arial" w:cs="Arial"/>
          <w:sz w:val="20"/>
          <w:szCs w:val="16"/>
          <w:vertAlign w:val="superscript"/>
        </w:rPr>
        <w:t>2</w:t>
      </w:r>
      <w:r w:rsidRPr="00B038A1">
        <w:rPr>
          <w:rFonts w:ascii="Arial" w:hAnsi="Arial" w:cs="Arial"/>
          <w:sz w:val="20"/>
          <w:szCs w:val="16"/>
        </w:rPr>
        <w:t xml:space="preserve"> </w:t>
      </w:r>
      <w:r w:rsidRPr="00B038A1">
        <w:rPr>
          <w:rFonts w:ascii="Arial" w:hAnsi="Arial" w:cs="Arial"/>
          <w:sz w:val="20"/>
        </w:rPr>
        <w:t>vào loại đất đai tương ứng.</w:t>
      </w:r>
    </w:p>
    <w:p w14:paraId="4107289F"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XI: ghi rõ số lượng vật nuôi thuộc sở hữu của hộ vào ô tương ứng. Không tính những vật nuôi thuê/nuôi hộ/nuôi rẽ cho hộ gia đình khác. Số lượng gà/ vịt/ ngan/ ngỗng/ chim là số tính theo chục (10).</w:t>
      </w:r>
    </w:p>
    <w:p w14:paraId="4AAE2471"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XIV: đánh dấu X vào ô tương ứng về chính sách hỗ trợ hộ đang được hưởng và nhu cầu hỗ trợ của hộ gia đình.</w:t>
      </w:r>
    </w:p>
    <w:p w14:paraId="15B8E43C"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Chỉ tiêu IV, VI, XII, XIII: đánh dấu X vào ô tương ứng.</w:t>
      </w:r>
    </w:p>
    <w:p w14:paraId="71189BD3"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3. Thông tin về thành viên hộ gia đình</w:t>
      </w:r>
    </w:p>
    <w:p w14:paraId="581ED92C"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Cột 2 - Họ và tên: ghi rõ họ và tên theo sổ hộ khẩu, giấy tạm trú, căn cước công dân hoặc chứng minh nhân dân, giấy khai sinh.</w:t>
      </w:r>
    </w:p>
    <w:p w14:paraId="327E6000"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Cột 7 - Cân nặng: ghi cân nặng theo đơn vị kg, lấy lẻ đến 1 chữ số thập phân. Ví dụ: 3,5 kg - ghi 3,5; 6,5kg - ghi 6,5.</w:t>
      </w:r>
    </w:p>
    <w:p w14:paraId="3535B2DF"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 Cột 12 - Bảo hiểm y tế: Hộ hưởng bảo hiểm y tế theo diện hộ nghèo, hộ cận nghèo thì vẫn tính là không có không có bảo hiểm y tế.</w:t>
      </w:r>
    </w:p>
    <w:p w14:paraId="681BEACD" w14:textId="77777777" w:rsidR="007C3EA0" w:rsidRPr="00B038A1" w:rsidRDefault="007C3EA0" w:rsidP="007C3EA0">
      <w:pPr>
        <w:widowControl w:val="0"/>
        <w:autoSpaceDE w:val="0"/>
        <w:autoSpaceDN w:val="0"/>
        <w:adjustRightInd w:val="0"/>
        <w:spacing w:before="120"/>
        <w:rPr>
          <w:rFonts w:ascii="Arial" w:hAnsi="Arial" w:cs="Arial"/>
          <w:b/>
          <w:sz w:val="20"/>
        </w:rPr>
      </w:pPr>
      <w:r w:rsidRPr="00B038A1">
        <w:rPr>
          <w:rFonts w:ascii="Arial" w:hAnsi="Arial" w:cs="Arial"/>
          <w:b/>
          <w:sz w:val="20"/>
        </w:rPr>
        <w:t>4. Chấm điểm</w:t>
      </w:r>
    </w:p>
    <w:p w14:paraId="120BB9DB" w14:textId="77777777" w:rsidR="007C3EA0" w:rsidRPr="00B038A1" w:rsidRDefault="007C3EA0" w:rsidP="007C3EA0">
      <w:pPr>
        <w:widowControl w:val="0"/>
        <w:autoSpaceDE w:val="0"/>
        <w:autoSpaceDN w:val="0"/>
        <w:adjustRightInd w:val="0"/>
        <w:spacing w:before="120"/>
        <w:rPr>
          <w:rFonts w:ascii="Arial" w:hAnsi="Arial" w:cs="Arial"/>
          <w:sz w:val="20"/>
        </w:rPr>
      </w:pPr>
      <w:r w:rsidRPr="00B038A1">
        <w:rPr>
          <w:rFonts w:ascii="Arial" w:hAnsi="Arial" w:cs="Arial"/>
          <w:sz w:val="20"/>
        </w:rPr>
        <w:t>Sử dụng Bảng quy ước điểm Phiếu B1 tại các mẫu số 3.3, 3.4, 3.5, 3.6, 3.7, 3.8, 3.9, 3.10 để chấm điểm thông tin hộ gia đình đã thu thập theo Mẫu số 3.1.</w:t>
      </w:r>
    </w:p>
    <w:p w14:paraId="248ADA8E" w14:textId="5F392AAD" w:rsidR="00696BDF" w:rsidRDefault="00750768">
      <w:r>
        <w:tab/>
      </w:r>
    </w:p>
    <w:sectPr w:rsidR="00696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A0"/>
    <w:rsid w:val="00696BDF"/>
    <w:rsid w:val="00750768"/>
    <w:rsid w:val="007C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184D"/>
  <w15:chartTrackingRefBased/>
  <w15:docId w15:val="{B16DF4DD-E155-4090-92A2-C3C5C2BF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A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3EA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C3EA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2</cp:revision>
  <dcterms:created xsi:type="dcterms:W3CDTF">2025-04-19T08:20:00Z</dcterms:created>
  <dcterms:modified xsi:type="dcterms:W3CDTF">2025-04-19T08:20:00Z</dcterms:modified>
</cp:coreProperties>
</file>