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67FF" w:rsidRPr="00D867FF" w:rsidRDefault="00D867FF" w:rsidP="00D867FF">
      <w:pPr>
        <w:jc w:val="center"/>
        <w:rPr>
          <w:rFonts w:asciiTheme="minorHAnsi" w:hAnsiTheme="minorHAnsi" w:cstheme="minorHAnsi"/>
          <w:sz w:val="22"/>
        </w:rPr>
      </w:pPr>
      <w:r w:rsidRPr="00D867FF">
        <w:rPr>
          <w:rFonts w:asciiTheme="minorHAnsi" w:hAnsiTheme="minorHAnsi" w:cstheme="minorHAnsi"/>
          <w:sz w:val="22"/>
          <w:lang w:val="en"/>
        </w:rPr>
        <w:t>BI</w:t>
      </w:r>
      <w:r w:rsidRPr="00D867FF">
        <w:rPr>
          <w:rFonts w:asciiTheme="minorHAnsi" w:hAnsiTheme="minorHAnsi" w:cstheme="minorHAnsi"/>
          <w:sz w:val="22"/>
        </w:rPr>
        <w:t>ỂU THUẾ TIÊU THỤ ĐẶC BIỆT</w:t>
      </w:r>
    </w:p>
    <w:tbl>
      <w:tblPr>
        <w:tblStyle w:val="TableGrid"/>
        <w:tblW w:w="5000" w:type="pct"/>
        <w:tblLook w:val="04A0" w:firstRow="1" w:lastRow="0" w:firstColumn="1" w:lastColumn="0" w:noHBand="0" w:noVBand="1"/>
      </w:tblPr>
      <w:tblGrid>
        <w:gridCol w:w="1259"/>
        <w:gridCol w:w="2416"/>
        <w:gridCol w:w="1860"/>
        <w:gridCol w:w="3527"/>
      </w:tblGrid>
      <w:tr w:rsidR="00D867FF" w:rsidRPr="00D867FF" w:rsidTr="00D867FF">
        <w:tc>
          <w:tcPr>
            <w:tcW w:w="550" w:type="pct"/>
            <w:vMerge w:val="restar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b/>
                <w:bCs/>
                <w:sz w:val="22"/>
                <w:lang w:val="en"/>
              </w:rPr>
              <w:t>STT</w:t>
            </w:r>
          </w:p>
        </w:tc>
        <w:tc>
          <w:tcPr>
            <w:tcW w:w="1350" w:type="pct"/>
            <w:vMerge w:val="restar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b/>
                <w:bCs/>
                <w:sz w:val="22"/>
                <w:lang w:val="en"/>
              </w:rPr>
              <w:t>Hàng hóa, d</w:t>
            </w:r>
            <w:r w:rsidRPr="00D867FF">
              <w:rPr>
                <w:rFonts w:asciiTheme="minorHAnsi" w:hAnsiTheme="minorHAnsi" w:cstheme="minorHAnsi"/>
                <w:b/>
                <w:bCs/>
                <w:sz w:val="22"/>
              </w:rPr>
              <w:t>ịch vụ</w:t>
            </w:r>
          </w:p>
        </w:tc>
        <w:tc>
          <w:tcPr>
            <w:tcW w:w="3000" w:type="pct"/>
            <w:gridSpan w:val="2"/>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b/>
                <w:bCs/>
                <w:sz w:val="22"/>
                <w:lang w:val="en"/>
              </w:rPr>
              <w:t>Thu</w:t>
            </w:r>
            <w:r w:rsidRPr="00D867FF">
              <w:rPr>
                <w:rFonts w:asciiTheme="minorHAnsi" w:hAnsiTheme="minorHAnsi" w:cstheme="minorHAnsi"/>
                <w:b/>
                <w:bCs/>
                <w:sz w:val="22"/>
              </w:rPr>
              <w:t>ế suất và mức thuế tuyệt đối</w:t>
            </w:r>
          </w:p>
        </w:tc>
      </w:tr>
      <w:tr w:rsidR="00D867FF" w:rsidRPr="00D867FF" w:rsidTr="00D867FF">
        <w:tc>
          <w:tcPr>
            <w:tcW w:w="0" w:type="auto"/>
            <w:vMerge/>
            <w:hideMark/>
          </w:tcPr>
          <w:p w:rsidR="00D867FF" w:rsidRPr="00D867FF" w:rsidRDefault="00D867FF" w:rsidP="00D867FF">
            <w:pPr>
              <w:spacing w:after="160" w:line="259" w:lineRule="auto"/>
              <w:rPr>
                <w:rFonts w:asciiTheme="minorHAnsi" w:hAnsiTheme="minorHAnsi" w:cstheme="minorHAnsi"/>
                <w:sz w:val="22"/>
              </w:rPr>
            </w:pPr>
          </w:p>
        </w:tc>
        <w:tc>
          <w:tcPr>
            <w:tcW w:w="0" w:type="auto"/>
            <w:vMerge/>
            <w:hideMark/>
          </w:tcPr>
          <w:p w:rsidR="00D867FF" w:rsidRPr="00D867FF" w:rsidRDefault="00D867FF" w:rsidP="00D867FF">
            <w:pPr>
              <w:spacing w:after="160" w:line="259" w:lineRule="auto"/>
              <w:rPr>
                <w:rFonts w:asciiTheme="minorHAnsi" w:hAnsiTheme="minorHAnsi" w:cstheme="minorHAnsi"/>
                <w:sz w:val="22"/>
              </w:rPr>
            </w:pP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b/>
                <w:bCs/>
                <w:sz w:val="22"/>
                <w:lang w:val="en"/>
              </w:rPr>
              <w:t>Thu</w:t>
            </w:r>
            <w:r w:rsidRPr="00D867FF">
              <w:rPr>
                <w:rFonts w:asciiTheme="minorHAnsi" w:hAnsiTheme="minorHAnsi" w:cstheme="minorHAnsi"/>
                <w:b/>
                <w:bCs/>
                <w:sz w:val="22"/>
              </w:rPr>
              <w:t>ế suất (%)</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b/>
                <w:bCs/>
                <w:sz w:val="22"/>
                <w:lang w:val="en"/>
              </w:rPr>
              <w:t>M</w:t>
            </w:r>
            <w:r w:rsidRPr="00D867FF">
              <w:rPr>
                <w:rFonts w:asciiTheme="minorHAnsi" w:hAnsiTheme="minorHAnsi" w:cstheme="minorHAnsi"/>
                <w:b/>
                <w:bCs/>
                <w:sz w:val="22"/>
              </w:rPr>
              <w:t>ức thuế tuyệt đối</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b/>
                <w:bCs/>
                <w:sz w:val="22"/>
                <w:lang w:val="en"/>
              </w:rPr>
              <w:t>I</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b/>
                <w:bCs/>
                <w:sz w:val="22"/>
                <w:lang w:val="en"/>
              </w:rPr>
              <w:t>Hàng hóa</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1</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Thu</w:t>
            </w:r>
            <w:r w:rsidRPr="00D867FF">
              <w:rPr>
                <w:rFonts w:asciiTheme="minorHAnsi" w:hAnsiTheme="minorHAnsi" w:cstheme="minorHAnsi"/>
                <w:sz w:val="22"/>
              </w:rPr>
              <w:t>ốc lá</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a) Thu</w:t>
            </w:r>
            <w:r w:rsidRPr="00D867FF">
              <w:rPr>
                <w:rFonts w:asciiTheme="minorHAnsi" w:hAnsiTheme="minorHAnsi" w:cstheme="minorHAnsi"/>
                <w:sz w:val="22"/>
              </w:rPr>
              <w:t>ốc lá điếu</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75</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01/01/2027: 2.000 đồng/bao</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01/01/2028: 4.000 đồng/bao</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01/01/2029: 6.000 đồng/bao</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01/01/2030: 8.000 đồng/bao</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01/01/2031: 10.000 đồng/bao</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b) Xì gà</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75</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01/01/2027: 20.000 đồng/điếu</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01/01/2028: 40.000 đồng/điếu</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01/01/2029: 60.000 đồng/điếu</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01/01/2030: 80.000 đồng/điếu</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01/01/2031: 100.000 đồng/điếu</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c) Thu</w:t>
            </w:r>
            <w:r w:rsidRPr="00D867FF">
              <w:rPr>
                <w:rFonts w:asciiTheme="minorHAnsi" w:hAnsiTheme="minorHAnsi" w:cstheme="minorHAnsi"/>
                <w:sz w:val="22"/>
              </w:rPr>
              <w:t>ốc lá sợi, thuốc lào hoặc các dạng khác</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75</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01/01/2027: 20.000 đồng/100g hoặc 100ml</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01/01/2028: 40.000 đồng/100g hoặc 100ml</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01/01/2029: 60.000 đồng/100g hoặc 100ml</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01/01/2030: 80.000 đồng/100g hoặc 100ml</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01/01/2031: 100.000 đồng/100g hoặc 100ml</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2</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Rư</w:t>
            </w:r>
            <w:r w:rsidRPr="00D867FF">
              <w:rPr>
                <w:rFonts w:asciiTheme="minorHAnsi" w:hAnsiTheme="minorHAnsi" w:cstheme="minorHAnsi"/>
                <w:sz w:val="22"/>
              </w:rPr>
              <w:t>ợu</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lastRenderedPageBreak/>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a) Rư</w:t>
            </w:r>
            <w:r w:rsidRPr="00D867FF">
              <w:rPr>
                <w:rFonts w:asciiTheme="minorHAnsi" w:hAnsiTheme="minorHAnsi" w:cstheme="minorHAnsi"/>
                <w:sz w:val="22"/>
              </w:rPr>
              <w:t>ợu từ 20 độ trở lên</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01/01/2026: 65</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01/01/2027: 70</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01/01/2028: 75</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01/01/2029: 80</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01/01/2030: 85</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01/01/2031: 90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b) Rư</w:t>
            </w:r>
            <w:r w:rsidRPr="00D867FF">
              <w:rPr>
                <w:rFonts w:asciiTheme="minorHAnsi" w:hAnsiTheme="minorHAnsi" w:cstheme="minorHAnsi"/>
                <w:sz w:val="22"/>
              </w:rPr>
              <w:t>ợu dưới 20 độ</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01/01/2026: 35</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01/01/2027: 40</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01/01/2028: 45</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01/01/2029: 50</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01/01/2030: 55</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01/01/2031: 60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3</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Bia</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01/01/2026: 65</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01/01/2027: 70</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01/01/2028: 75</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01/01/2029: 80</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01/01/2030: 85</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01/01/2031: 90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4</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Xe có g</w:t>
            </w:r>
            <w:r w:rsidRPr="00D867FF">
              <w:rPr>
                <w:rFonts w:asciiTheme="minorHAnsi" w:hAnsiTheme="minorHAnsi" w:cstheme="minorHAnsi"/>
                <w:sz w:val="22"/>
              </w:rPr>
              <w:t>ắn động cơ dưới 24 chỗ</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lastRenderedPageBreak/>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a) Xe ô tô ch</w:t>
            </w:r>
            <w:r w:rsidRPr="00D867FF">
              <w:rPr>
                <w:rFonts w:asciiTheme="minorHAnsi" w:hAnsiTheme="minorHAnsi" w:cstheme="minorHAnsi"/>
                <w:sz w:val="22"/>
              </w:rPr>
              <w:t>ở người và xe chở người bốn bánh có gắn động cơ từ 9 chỗ trở xuống, xe ô tô pick-up chở người, trừ loại quy định tại các mục 4đ, 4e và 4g của Biểu thuế quy định tại khoản này</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Lo</w:t>
            </w:r>
            <w:r w:rsidRPr="00D867FF">
              <w:rPr>
                <w:rFonts w:asciiTheme="minorHAnsi" w:hAnsiTheme="minorHAnsi" w:cstheme="minorHAnsi"/>
                <w:sz w:val="22"/>
              </w:rPr>
              <w:t>ại có dung tích xi lanh từ 1.500 cm</w:t>
            </w:r>
            <w:r w:rsidRPr="00D867FF">
              <w:rPr>
                <w:rFonts w:asciiTheme="minorHAnsi" w:hAnsiTheme="minorHAnsi" w:cstheme="minorHAnsi"/>
                <w:sz w:val="22"/>
                <w:vertAlign w:val="superscript"/>
              </w:rPr>
              <w:t>3</w:t>
            </w:r>
            <w:r w:rsidRPr="00D867FF">
              <w:rPr>
                <w:rFonts w:asciiTheme="minorHAnsi" w:hAnsiTheme="minorHAnsi" w:cstheme="minorHAnsi"/>
                <w:sz w:val="22"/>
              </w:rPr>
              <w:t> trở xuống</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35</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Lo</w:t>
            </w:r>
            <w:r w:rsidRPr="00D867FF">
              <w:rPr>
                <w:rFonts w:asciiTheme="minorHAnsi" w:hAnsiTheme="minorHAnsi" w:cstheme="minorHAnsi"/>
                <w:sz w:val="22"/>
              </w:rPr>
              <w:t>ại có dung tích xi lanh trên 1.500 cm</w:t>
            </w:r>
            <w:r w:rsidRPr="00D867FF">
              <w:rPr>
                <w:rFonts w:asciiTheme="minorHAnsi" w:hAnsiTheme="minorHAnsi" w:cstheme="minorHAnsi"/>
                <w:sz w:val="22"/>
                <w:vertAlign w:val="superscript"/>
              </w:rPr>
              <w:t>3</w:t>
            </w:r>
            <w:r w:rsidRPr="00D867FF">
              <w:rPr>
                <w:rFonts w:asciiTheme="minorHAnsi" w:hAnsiTheme="minorHAnsi" w:cstheme="minorHAnsi"/>
                <w:sz w:val="22"/>
              </w:rPr>
              <w:t> đến 2.000 cm</w:t>
            </w:r>
            <w:r w:rsidRPr="00D867FF">
              <w:rPr>
                <w:rFonts w:asciiTheme="minorHAnsi" w:hAnsiTheme="minorHAnsi" w:cstheme="minorHAnsi"/>
                <w:sz w:val="22"/>
                <w:vertAlign w:val="superscript"/>
              </w:rPr>
              <w:t>3</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40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Lo</w:t>
            </w:r>
            <w:r w:rsidRPr="00D867FF">
              <w:rPr>
                <w:rFonts w:asciiTheme="minorHAnsi" w:hAnsiTheme="minorHAnsi" w:cstheme="minorHAnsi"/>
                <w:sz w:val="22"/>
              </w:rPr>
              <w:t>ại có dung tích xi lanh trên 2.000 cm</w:t>
            </w:r>
            <w:r w:rsidRPr="00D867FF">
              <w:rPr>
                <w:rFonts w:asciiTheme="minorHAnsi" w:hAnsiTheme="minorHAnsi" w:cstheme="minorHAnsi"/>
                <w:sz w:val="22"/>
                <w:vertAlign w:val="superscript"/>
              </w:rPr>
              <w:t>3</w:t>
            </w:r>
            <w:r w:rsidRPr="00D867FF">
              <w:rPr>
                <w:rFonts w:asciiTheme="minorHAnsi" w:hAnsiTheme="minorHAnsi" w:cstheme="minorHAnsi"/>
                <w:sz w:val="22"/>
              </w:rPr>
              <w:t> đến 2.500 cm</w:t>
            </w:r>
            <w:r w:rsidRPr="00D867FF">
              <w:rPr>
                <w:rFonts w:asciiTheme="minorHAnsi" w:hAnsiTheme="minorHAnsi" w:cstheme="minorHAnsi"/>
                <w:sz w:val="22"/>
                <w:vertAlign w:val="superscript"/>
              </w:rPr>
              <w:t>3</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50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Lo</w:t>
            </w:r>
            <w:r w:rsidRPr="00D867FF">
              <w:rPr>
                <w:rFonts w:asciiTheme="minorHAnsi" w:hAnsiTheme="minorHAnsi" w:cstheme="minorHAnsi"/>
                <w:sz w:val="22"/>
              </w:rPr>
              <w:t>ại có dung tích xi lanh trên 2.500 cm</w:t>
            </w:r>
            <w:r w:rsidRPr="00D867FF">
              <w:rPr>
                <w:rFonts w:asciiTheme="minorHAnsi" w:hAnsiTheme="minorHAnsi" w:cstheme="minorHAnsi"/>
                <w:sz w:val="22"/>
                <w:vertAlign w:val="superscript"/>
              </w:rPr>
              <w:t>3</w:t>
            </w:r>
            <w:r w:rsidRPr="00D867FF">
              <w:rPr>
                <w:rFonts w:asciiTheme="minorHAnsi" w:hAnsiTheme="minorHAnsi" w:cstheme="minorHAnsi"/>
                <w:sz w:val="22"/>
              </w:rPr>
              <w:t> đến 3.000 cm</w:t>
            </w:r>
            <w:r w:rsidRPr="00D867FF">
              <w:rPr>
                <w:rFonts w:asciiTheme="minorHAnsi" w:hAnsiTheme="minorHAnsi" w:cstheme="minorHAnsi"/>
                <w:sz w:val="22"/>
                <w:vertAlign w:val="superscript"/>
              </w:rPr>
              <w:t>3</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60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Lo</w:t>
            </w:r>
            <w:r w:rsidRPr="00D867FF">
              <w:rPr>
                <w:rFonts w:asciiTheme="minorHAnsi" w:hAnsiTheme="minorHAnsi" w:cstheme="minorHAnsi"/>
                <w:sz w:val="22"/>
              </w:rPr>
              <w:t>ại có dung tích xi lanh trên 3.000 cm</w:t>
            </w:r>
            <w:r w:rsidRPr="00D867FF">
              <w:rPr>
                <w:rFonts w:asciiTheme="minorHAnsi" w:hAnsiTheme="minorHAnsi" w:cstheme="minorHAnsi"/>
                <w:sz w:val="22"/>
                <w:vertAlign w:val="superscript"/>
              </w:rPr>
              <w:t>3</w:t>
            </w:r>
            <w:r w:rsidRPr="00D867FF">
              <w:rPr>
                <w:rFonts w:asciiTheme="minorHAnsi" w:hAnsiTheme="minorHAnsi" w:cstheme="minorHAnsi"/>
                <w:sz w:val="22"/>
              </w:rPr>
              <w:t> đến 4.000 cm</w:t>
            </w:r>
            <w:r w:rsidRPr="00D867FF">
              <w:rPr>
                <w:rFonts w:asciiTheme="minorHAnsi" w:hAnsiTheme="minorHAnsi" w:cstheme="minorHAnsi"/>
                <w:sz w:val="22"/>
                <w:vertAlign w:val="superscript"/>
              </w:rPr>
              <w:t>3</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90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Lo</w:t>
            </w:r>
            <w:r w:rsidRPr="00D867FF">
              <w:rPr>
                <w:rFonts w:asciiTheme="minorHAnsi" w:hAnsiTheme="minorHAnsi" w:cstheme="minorHAnsi"/>
                <w:sz w:val="22"/>
              </w:rPr>
              <w:t>ại có dung tích xi lanh trên 4.000 cm</w:t>
            </w:r>
            <w:r w:rsidRPr="00D867FF">
              <w:rPr>
                <w:rFonts w:asciiTheme="minorHAnsi" w:hAnsiTheme="minorHAnsi" w:cstheme="minorHAnsi"/>
                <w:sz w:val="22"/>
                <w:vertAlign w:val="superscript"/>
              </w:rPr>
              <w:t>3</w:t>
            </w:r>
            <w:r w:rsidRPr="00D867FF">
              <w:rPr>
                <w:rFonts w:asciiTheme="minorHAnsi" w:hAnsiTheme="minorHAnsi" w:cstheme="minorHAnsi"/>
                <w:sz w:val="22"/>
              </w:rPr>
              <w:t> đến 5.000 cm</w:t>
            </w:r>
            <w:r w:rsidRPr="00D867FF">
              <w:rPr>
                <w:rFonts w:asciiTheme="minorHAnsi" w:hAnsiTheme="minorHAnsi" w:cstheme="minorHAnsi"/>
                <w:sz w:val="22"/>
                <w:vertAlign w:val="superscript"/>
              </w:rPr>
              <w:t>3</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110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Lo</w:t>
            </w:r>
            <w:r w:rsidRPr="00D867FF">
              <w:rPr>
                <w:rFonts w:asciiTheme="minorHAnsi" w:hAnsiTheme="minorHAnsi" w:cstheme="minorHAnsi"/>
                <w:sz w:val="22"/>
              </w:rPr>
              <w:t>ại có dung tích xi lanh trên 5.000 cm</w:t>
            </w:r>
            <w:r w:rsidRPr="00D867FF">
              <w:rPr>
                <w:rFonts w:asciiTheme="minorHAnsi" w:hAnsiTheme="minorHAnsi" w:cstheme="minorHAnsi"/>
                <w:sz w:val="22"/>
                <w:vertAlign w:val="superscript"/>
              </w:rPr>
              <w:t>3</w:t>
            </w:r>
            <w:r w:rsidRPr="00D867FF">
              <w:rPr>
                <w:rFonts w:asciiTheme="minorHAnsi" w:hAnsiTheme="minorHAnsi" w:cstheme="minorHAnsi"/>
                <w:sz w:val="22"/>
              </w:rPr>
              <w:t> đến 6.000 cm</w:t>
            </w:r>
            <w:r w:rsidRPr="00D867FF">
              <w:rPr>
                <w:rFonts w:asciiTheme="minorHAnsi" w:hAnsiTheme="minorHAnsi" w:cstheme="minorHAnsi"/>
                <w:sz w:val="22"/>
                <w:vertAlign w:val="superscript"/>
              </w:rPr>
              <w:t>3</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130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Lo</w:t>
            </w:r>
            <w:r w:rsidRPr="00D867FF">
              <w:rPr>
                <w:rFonts w:asciiTheme="minorHAnsi" w:hAnsiTheme="minorHAnsi" w:cstheme="minorHAnsi"/>
                <w:sz w:val="22"/>
              </w:rPr>
              <w:t>ại có dung tích xi lanh trên 6.000 cm</w:t>
            </w:r>
            <w:r w:rsidRPr="00D867FF">
              <w:rPr>
                <w:rFonts w:asciiTheme="minorHAnsi" w:hAnsiTheme="minorHAnsi" w:cstheme="minorHAnsi"/>
                <w:sz w:val="22"/>
                <w:vertAlign w:val="superscript"/>
              </w:rPr>
              <w:t>3</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150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b) Xe ô tô ch</w:t>
            </w:r>
            <w:r w:rsidRPr="00D867FF">
              <w:rPr>
                <w:rFonts w:asciiTheme="minorHAnsi" w:hAnsiTheme="minorHAnsi" w:cstheme="minorHAnsi"/>
                <w:sz w:val="22"/>
              </w:rPr>
              <w:t>ở người và xe chở người bốn bánh có gắn động cơ từ 10 đến dưới 16 chỗ, trừ loại quy định tại các mục 4đ, 4e và 4g của Biểu thuế quy định tại khoản này</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15</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c) Xe ô tô ch</w:t>
            </w:r>
            <w:r w:rsidRPr="00D867FF">
              <w:rPr>
                <w:rFonts w:asciiTheme="minorHAnsi" w:hAnsiTheme="minorHAnsi" w:cstheme="minorHAnsi"/>
                <w:sz w:val="22"/>
              </w:rPr>
              <w:t xml:space="preserve">ở người và xe chở người bốn bánh có gắn động cơ </w:t>
            </w:r>
            <w:r w:rsidRPr="00D867FF">
              <w:rPr>
                <w:rFonts w:asciiTheme="minorHAnsi" w:hAnsiTheme="minorHAnsi" w:cstheme="minorHAnsi"/>
                <w:sz w:val="22"/>
              </w:rPr>
              <w:lastRenderedPageBreak/>
              <w:t>từ 16 đến dưới 24 chỗ, trừ loại quy định tại các mục 4đ, 4c và 4g của Biểu thuế quy định tại khoản này</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lastRenderedPageBreak/>
              <w:t>10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d) Xe ô tô pick-up ch</w:t>
            </w:r>
            <w:r w:rsidRPr="00D867FF">
              <w:rPr>
                <w:rFonts w:asciiTheme="minorHAnsi" w:hAnsiTheme="minorHAnsi" w:cstheme="minorHAnsi"/>
                <w:sz w:val="22"/>
              </w:rPr>
              <w:t>ở hàng cabin kép, xe ô tô tải VAN có từ hai hàng ghế trở lên, có thiết kế vách ngăn cố định giữa khoang chở người và khoang chở hàng, trừ loại quy định tại các mục 4đ, 4e và 4g của Biểu thuế quy định tại khoản này</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Lo</w:t>
            </w:r>
            <w:r w:rsidRPr="00D867FF">
              <w:rPr>
                <w:rFonts w:asciiTheme="minorHAnsi" w:hAnsiTheme="minorHAnsi" w:cstheme="minorHAnsi"/>
                <w:sz w:val="22"/>
              </w:rPr>
              <w:t>ại có dung tích xi lanh từ</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2.500 cm</w:t>
            </w:r>
            <w:r w:rsidRPr="00D867FF">
              <w:rPr>
                <w:rFonts w:asciiTheme="minorHAnsi" w:hAnsiTheme="minorHAnsi" w:cstheme="minorHAnsi"/>
                <w:sz w:val="22"/>
                <w:vertAlign w:val="superscript"/>
                <w:lang w:val="en"/>
              </w:rPr>
              <w:t>3</w:t>
            </w:r>
            <w:r w:rsidRPr="00D867FF">
              <w:rPr>
                <w:rFonts w:asciiTheme="minorHAnsi" w:hAnsiTheme="minorHAnsi" w:cstheme="minorHAnsi"/>
                <w:sz w:val="22"/>
                <w:lang w:val="en"/>
              </w:rPr>
              <w:t> tr</w:t>
            </w:r>
            <w:r w:rsidRPr="00D867FF">
              <w:rPr>
                <w:rFonts w:asciiTheme="minorHAnsi" w:hAnsiTheme="minorHAnsi" w:cstheme="minorHAnsi"/>
                <w:sz w:val="22"/>
              </w:rPr>
              <w:t>ở xuống</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01/01/2026: 15</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01/01/2027: 18</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01/01/2028: 21</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01/01/2029: 24</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Lo</w:t>
            </w:r>
            <w:r w:rsidRPr="00D867FF">
              <w:rPr>
                <w:rFonts w:asciiTheme="minorHAnsi" w:hAnsiTheme="minorHAnsi" w:cstheme="minorHAnsi"/>
                <w:sz w:val="22"/>
              </w:rPr>
              <w:t>ại có dung tích xi lanh trên </w:t>
            </w:r>
            <w:r w:rsidRPr="00D867FF">
              <w:rPr>
                <w:rFonts w:asciiTheme="minorHAnsi" w:hAnsiTheme="minorHAnsi" w:cstheme="minorHAnsi"/>
                <w:sz w:val="22"/>
                <w:lang w:val="en"/>
              </w:rPr>
              <w:t>2.500 cm</w:t>
            </w:r>
            <w:r w:rsidRPr="00D867FF">
              <w:rPr>
                <w:rFonts w:asciiTheme="minorHAnsi" w:hAnsiTheme="minorHAnsi" w:cstheme="minorHAnsi"/>
                <w:sz w:val="22"/>
                <w:vertAlign w:val="superscript"/>
                <w:lang w:val="en"/>
              </w:rPr>
              <w:t>3</w:t>
            </w:r>
            <w:r w:rsidRPr="00D867FF">
              <w:rPr>
                <w:rFonts w:asciiTheme="minorHAnsi" w:hAnsiTheme="minorHAnsi" w:cstheme="minorHAnsi"/>
                <w:sz w:val="22"/>
                <w:lang w:val="en"/>
              </w:rPr>
              <w:t> đ</w:t>
            </w:r>
            <w:r w:rsidRPr="00D867FF">
              <w:rPr>
                <w:rFonts w:asciiTheme="minorHAnsi" w:hAnsiTheme="minorHAnsi" w:cstheme="minorHAnsi"/>
                <w:sz w:val="22"/>
              </w:rPr>
              <w:t>ến 3.000 cm</w:t>
            </w:r>
            <w:r w:rsidRPr="00D867FF">
              <w:rPr>
                <w:rFonts w:asciiTheme="minorHAnsi" w:hAnsiTheme="minorHAnsi" w:cstheme="minorHAnsi"/>
                <w:sz w:val="22"/>
                <w:vertAlign w:val="superscript"/>
              </w:rPr>
              <w:t>3</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01/01/2026: 20</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01/01/2027: 23</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01/01/2028: 26</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01/01/2029: 29</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Lo</w:t>
            </w:r>
            <w:r w:rsidRPr="00D867FF">
              <w:rPr>
                <w:rFonts w:asciiTheme="minorHAnsi" w:hAnsiTheme="minorHAnsi" w:cstheme="minorHAnsi"/>
                <w:sz w:val="22"/>
              </w:rPr>
              <w:t>ại có dung tích xi lanh trên </w:t>
            </w:r>
            <w:r w:rsidRPr="00D867FF">
              <w:rPr>
                <w:rFonts w:asciiTheme="minorHAnsi" w:hAnsiTheme="minorHAnsi" w:cstheme="minorHAnsi"/>
                <w:sz w:val="22"/>
                <w:lang w:val="en"/>
              </w:rPr>
              <w:t>3.000 cm</w:t>
            </w:r>
            <w:r w:rsidRPr="00D867FF">
              <w:rPr>
                <w:rFonts w:asciiTheme="minorHAnsi" w:hAnsiTheme="minorHAnsi" w:cstheme="minorHAnsi"/>
                <w:sz w:val="22"/>
                <w:vertAlign w:val="superscript"/>
                <w:lang w:val="en"/>
              </w:rPr>
              <w:t>3</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01/01/2026: 25</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01/01/2027: 28</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01/01/2028: 31</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01/01/2029: 34</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đ) Xe ô tô ch</w:t>
            </w:r>
            <w:r w:rsidRPr="00D867FF">
              <w:rPr>
                <w:rFonts w:asciiTheme="minorHAnsi" w:hAnsiTheme="minorHAnsi" w:cstheme="minorHAnsi"/>
                <w:sz w:val="22"/>
              </w:rPr>
              <w:t xml:space="preserve">ạy bằng xăng kết hợp năng </w:t>
            </w:r>
            <w:r w:rsidRPr="00D867FF">
              <w:rPr>
                <w:rFonts w:asciiTheme="minorHAnsi" w:hAnsiTheme="minorHAnsi" w:cstheme="minorHAnsi"/>
                <w:sz w:val="22"/>
              </w:rPr>
              <w:lastRenderedPageBreak/>
              <w:t>lượng điện theo quy định của Chính phủ, xe ô tô chạy bằng xăng kết hợp năng lượng sinh học, trong đó tỷ trọng xăng sử dụng không quá 70% số năng lượng sử dụng do Chính phủ quy định; xe ô tô chạy bằng khí thiên nhiên</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lastRenderedPageBreak/>
              <w:t>B</w:t>
            </w:r>
            <w:r w:rsidRPr="00D867FF">
              <w:rPr>
                <w:rFonts w:asciiTheme="minorHAnsi" w:hAnsiTheme="minorHAnsi" w:cstheme="minorHAnsi"/>
                <w:sz w:val="22"/>
              </w:rPr>
              <w:t xml:space="preserve">ằng 70% mức thuế suất áp </w:t>
            </w:r>
            <w:r w:rsidRPr="00D867FF">
              <w:rPr>
                <w:rFonts w:asciiTheme="minorHAnsi" w:hAnsiTheme="minorHAnsi" w:cstheme="minorHAnsi"/>
                <w:sz w:val="22"/>
              </w:rPr>
              <w:lastRenderedPageBreak/>
              <w:t>dụng cho xe cùng loại quy định tại các mục 4a, 4b, 4c và 4d của Biểu thuế quy định tại khoản này.</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lastRenderedPageBreak/>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e) Xe ô tô ch</w:t>
            </w:r>
            <w:r w:rsidRPr="00D867FF">
              <w:rPr>
                <w:rFonts w:asciiTheme="minorHAnsi" w:hAnsiTheme="minorHAnsi" w:cstheme="minorHAnsi"/>
                <w:sz w:val="22"/>
              </w:rPr>
              <w:t>ạy bằng năng lượng sinh học</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B</w:t>
            </w:r>
            <w:r w:rsidRPr="00D867FF">
              <w:rPr>
                <w:rFonts w:asciiTheme="minorHAnsi" w:hAnsiTheme="minorHAnsi" w:cstheme="minorHAnsi"/>
                <w:sz w:val="22"/>
              </w:rPr>
              <w:t>ằng 50% mức thuế suất áp dụng cho xe cùng loại quy định tại các mục 4a, 4b, 4c và 4d của Biểu thuế quy định tại khoản này.</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g) Xe có g</w:t>
            </w:r>
            <w:r w:rsidRPr="00D867FF">
              <w:rPr>
                <w:rFonts w:asciiTheme="minorHAnsi" w:hAnsiTheme="minorHAnsi" w:cstheme="minorHAnsi"/>
                <w:sz w:val="22"/>
              </w:rPr>
              <w:t>ắn động cơ dưới 24 chỗ chạy điện</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Xe có g</w:t>
            </w:r>
            <w:r w:rsidRPr="00D867FF">
              <w:rPr>
                <w:rFonts w:asciiTheme="minorHAnsi" w:hAnsiTheme="minorHAnsi" w:cstheme="minorHAnsi"/>
                <w:sz w:val="22"/>
              </w:rPr>
              <w:t>ắn động cơ dưới 24 chỗ chạy bằng pin</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Xe ô tô ch</w:t>
            </w:r>
            <w:r w:rsidRPr="00D867FF">
              <w:rPr>
                <w:rFonts w:asciiTheme="minorHAnsi" w:hAnsiTheme="minorHAnsi" w:cstheme="minorHAnsi"/>
                <w:sz w:val="22"/>
              </w:rPr>
              <w:t>ở người và xe chở người bốn bánh có gắn động cơ từ 9 chỗ trở xuống, xe ô tô pick-up chở người</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01/01/2026: 3</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01/3/2027: 11</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Xe ô tô ch</w:t>
            </w:r>
            <w:r w:rsidRPr="00D867FF">
              <w:rPr>
                <w:rFonts w:asciiTheme="minorHAnsi" w:hAnsiTheme="minorHAnsi" w:cstheme="minorHAnsi"/>
                <w:sz w:val="22"/>
              </w:rPr>
              <w:t>ở người và xe chở người bốn bánh có gắn động cơ từ 10 đến dưới 16 chỗ</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01/01/2026: 2</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01/3/2027: 7</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Xe ô tô ch</w:t>
            </w:r>
            <w:r w:rsidRPr="00D867FF">
              <w:rPr>
                <w:rFonts w:asciiTheme="minorHAnsi" w:hAnsiTheme="minorHAnsi" w:cstheme="minorHAnsi"/>
                <w:sz w:val="22"/>
              </w:rPr>
              <w:t>ở người và xe chở người bốn bánh có gắn động cơ từ 16 đến dưới 24 chỗ</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01/01/2026: 1</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Tù 01/3/2027: 4</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Xe ô tô pick-up ch</w:t>
            </w:r>
            <w:r w:rsidRPr="00D867FF">
              <w:rPr>
                <w:rFonts w:asciiTheme="minorHAnsi" w:hAnsiTheme="minorHAnsi" w:cstheme="minorHAnsi"/>
                <w:sz w:val="22"/>
              </w:rPr>
              <w:t>ở hàng cabin kép, xe ô tô tải VAN có từ hai hàng ghế trở lên, có thiết kế vách ngăn cố định giữa khoang chở người và khoang chở hàng</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01/01/2026: 2</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01/3/2027: 7</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lastRenderedPageBreak/>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Xe có đ</w:t>
            </w:r>
            <w:r w:rsidRPr="00D867FF">
              <w:rPr>
                <w:rFonts w:asciiTheme="minorHAnsi" w:hAnsiTheme="minorHAnsi" w:cstheme="minorHAnsi"/>
                <w:sz w:val="22"/>
              </w:rPr>
              <w:t>ộng cơ dưới 24 chỗ chạy điện khác:</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Xe ô tô ch</w:t>
            </w:r>
            <w:r w:rsidRPr="00D867FF">
              <w:rPr>
                <w:rFonts w:asciiTheme="minorHAnsi" w:hAnsiTheme="minorHAnsi" w:cstheme="minorHAnsi"/>
                <w:sz w:val="22"/>
              </w:rPr>
              <w:t>ở người và xe chở người bốn bánh có gắn động cơ từ 9 chỗ trở xuống, xe ô tô pick-up chở người</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15</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Xe ô tô ch</w:t>
            </w:r>
            <w:r w:rsidRPr="00D867FF">
              <w:rPr>
                <w:rFonts w:asciiTheme="minorHAnsi" w:hAnsiTheme="minorHAnsi" w:cstheme="minorHAnsi"/>
                <w:sz w:val="22"/>
              </w:rPr>
              <w:t>ở người và xe chở người bốn bánh có gắn động cơ từ 10 đến dưới 16 chỗ</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10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Xe ô tô ch</w:t>
            </w:r>
            <w:r w:rsidRPr="00D867FF">
              <w:rPr>
                <w:rFonts w:asciiTheme="minorHAnsi" w:hAnsiTheme="minorHAnsi" w:cstheme="minorHAnsi"/>
                <w:sz w:val="22"/>
              </w:rPr>
              <w:t>ở người và xe chở người bốn bánh có gắn động cơ từ 16 đến dưới 24 chỗ</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5</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Xe ô tô pick-up ch</w:t>
            </w:r>
            <w:r w:rsidRPr="00D867FF">
              <w:rPr>
                <w:rFonts w:asciiTheme="minorHAnsi" w:hAnsiTheme="minorHAnsi" w:cstheme="minorHAnsi"/>
                <w:sz w:val="22"/>
              </w:rPr>
              <w:t>ở hàng cabin kép, xe ô tô tải VAN có từ hai hàng ghê trở lên, có thiết kế vách ngăn cố định giữa khoang chở người và khoang chở hàng</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10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h) Xe ô tô nhà </w:t>
            </w:r>
            <w:r w:rsidRPr="00D867FF">
              <w:rPr>
                <w:rFonts w:asciiTheme="minorHAnsi" w:hAnsiTheme="minorHAnsi" w:cstheme="minorHAnsi"/>
                <w:sz w:val="22"/>
              </w:rPr>
              <w:t>ở lưu động không phân biệt dung tích xi lanh</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75</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5</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Xe mô tô hai bánh, xe mô tô ba bánh có dung tích xi lanh trên 125 cm</w:t>
            </w:r>
            <w:r w:rsidRPr="00D867FF">
              <w:rPr>
                <w:rFonts w:asciiTheme="minorHAnsi" w:hAnsiTheme="minorHAnsi" w:cstheme="minorHAnsi"/>
                <w:sz w:val="22"/>
                <w:vertAlign w:val="superscript"/>
                <w:lang w:val="en"/>
              </w:rPr>
              <w:t>3</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20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6</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Máy bay, tr</w:t>
            </w:r>
            <w:r w:rsidRPr="00D867FF">
              <w:rPr>
                <w:rFonts w:asciiTheme="minorHAnsi" w:hAnsiTheme="minorHAnsi" w:cstheme="minorHAnsi"/>
                <w:sz w:val="22"/>
              </w:rPr>
              <w:t>ực thăng, tàu lượn</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30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7</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Du thuy</w:t>
            </w:r>
            <w:r w:rsidRPr="00D867FF">
              <w:rPr>
                <w:rFonts w:asciiTheme="minorHAnsi" w:hAnsiTheme="minorHAnsi" w:cstheme="minorHAnsi"/>
                <w:sz w:val="22"/>
              </w:rPr>
              <w:t>ền</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30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8</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Xăng các lo</w:t>
            </w:r>
            <w:r w:rsidRPr="00D867FF">
              <w:rPr>
                <w:rFonts w:asciiTheme="minorHAnsi" w:hAnsiTheme="minorHAnsi" w:cstheme="minorHAnsi"/>
                <w:sz w:val="22"/>
              </w:rPr>
              <w:t>ại</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a) Xăng</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10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b) Xăng E5</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8</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c) Xăng E10</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7</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9</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Điều</w:t>
            </w:r>
            <w:r w:rsidRPr="00D867FF">
              <w:rPr>
                <w:rFonts w:asciiTheme="minorHAnsi" w:hAnsiTheme="minorHAnsi" w:cstheme="minorHAnsi"/>
                <w:sz w:val="22"/>
              </w:rPr>
              <w:t> hòa nhiệt độ công suất trên 24.000 BTU đến 90.000 BTU</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10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10</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Bài lá</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40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lastRenderedPageBreak/>
              <w:t>11</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Vàng mã, hàng mã</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70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12</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Nư</w:t>
            </w:r>
            <w:r w:rsidRPr="00D867FF">
              <w:rPr>
                <w:rFonts w:asciiTheme="minorHAnsi" w:hAnsiTheme="minorHAnsi" w:cstheme="minorHAnsi"/>
                <w:sz w:val="22"/>
              </w:rPr>
              <w:t>ớc giải khát theo Tiêu chuẩn quốc gia (TCVN) có hàm lượng đường trên 5g/100ml</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01/01/2027: 8</w:t>
            </w:r>
          </w:p>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T</w:t>
            </w:r>
            <w:r w:rsidRPr="00D867FF">
              <w:rPr>
                <w:rFonts w:asciiTheme="minorHAnsi" w:hAnsiTheme="minorHAnsi" w:cstheme="minorHAnsi"/>
                <w:sz w:val="22"/>
              </w:rPr>
              <w:t>ừ 01/01/2028: 10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b/>
                <w:bCs/>
                <w:sz w:val="22"/>
                <w:lang w:val="en"/>
              </w:rPr>
              <w:t>II</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b/>
                <w:bCs/>
                <w:sz w:val="22"/>
                <w:lang w:val="en"/>
              </w:rPr>
              <w:t>D</w:t>
            </w:r>
            <w:r w:rsidRPr="00D867FF">
              <w:rPr>
                <w:rFonts w:asciiTheme="minorHAnsi" w:hAnsiTheme="minorHAnsi" w:cstheme="minorHAnsi"/>
                <w:b/>
                <w:bCs/>
                <w:sz w:val="22"/>
              </w:rPr>
              <w:t>ịch vụ</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1</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Kinh doanh vũ trư</w:t>
            </w:r>
            <w:r w:rsidRPr="00D867FF">
              <w:rPr>
                <w:rFonts w:asciiTheme="minorHAnsi" w:hAnsiTheme="minorHAnsi" w:cstheme="minorHAnsi"/>
                <w:sz w:val="22"/>
              </w:rPr>
              <w:t>ờng</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40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2</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Kinh doanh mát-xa, ka-ra-ô-kê</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30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3</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Kinh doanh ca-si-nô, trò chơi đi</w:t>
            </w:r>
            <w:r w:rsidRPr="00D867FF">
              <w:rPr>
                <w:rFonts w:asciiTheme="minorHAnsi" w:hAnsiTheme="minorHAnsi" w:cstheme="minorHAnsi"/>
                <w:sz w:val="22"/>
              </w:rPr>
              <w:t>ện tử có thưởng</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35</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4</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Kinh doanh đ</w:t>
            </w:r>
            <w:r w:rsidRPr="00D867FF">
              <w:rPr>
                <w:rFonts w:asciiTheme="minorHAnsi" w:hAnsiTheme="minorHAnsi" w:cstheme="minorHAnsi"/>
                <w:sz w:val="22"/>
              </w:rPr>
              <w:t>ặt cược</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30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5</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Kinh doanh gôn</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20</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r w:rsidR="00D867FF" w:rsidRPr="00D867FF" w:rsidTr="00D867FF">
        <w:tc>
          <w:tcPr>
            <w:tcW w:w="5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6</w:t>
            </w:r>
          </w:p>
        </w:tc>
        <w:tc>
          <w:tcPr>
            <w:tcW w:w="13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Kinh doanh x</w:t>
            </w:r>
            <w:r w:rsidRPr="00D867FF">
              <w:rPr>
                <w:rFonts w:asciiTheme="minorHAnsi" w:hAnsiTheme="minorHAnsi" w:cstheme="minorHAnsi"/>
                <w:sz w:val="22"/>
              </w:rPr>
              <w:t>ổ số</w:t>
            </w:r>
          </w:p>
        </w:tc>
        <w:tc>
          <w:tcPr>
            <w:tcW w:w="105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15</w:t>
            </w:r>
          </w:p>
        </w:tc>
        <w:tc>
          <w:tcPr>
            <w:tcW w:w="1900" w:type="pct"/>
            <w:hideMark/>
          </w:tcPr>
          <w:p w:rsidR="00D867FF" w:rsidRPr="00D867FF" w:rsidRDefault="00D867FF" w:rsidP="00D867FF">
            <w:pPr>
              <w:spacing w:after="160" w:line="259" w:lineRule="auto"/>
              <w:rPr>
                <w:rFonts w:asciiTheme="minorHAnsi" w:hAnsiTheme="minorHAnsi" w:cstheme="minorHAnsi"/>
                <w:sz w:val="22"/>
              </w:rPr>
            </w:pPr>
            <w:r w:rsidRPr="00D867FF">
              <w:rPr>
                <w:rFonts w:asciiTheme="minorHAnsi" w:hAnsiTheme="minorHAnsi" w:cstheme="minorHAnsi"/>
                <w:sz w:val="22"/>
                <w:lang w:val="en"/>
              </w:rPr>
              <w:t> </w:t>
            </w:r>
          </w:p>
        </w:tc>
      </w:tr>
    </w:tbl>
    <w:p w:rsidR="0027019A" w:rsidRPr="00D867FF" w:rsidRDefault="0027019A" w:rsidP="00D867FF"/>
    <w:sectPr w:rsidR="0027019A" w:rsidRPr="00D867FF"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DC"/>
    <w:rsid w:val="00091EBD"/>
    <w:rsid w:val="000A6A1A"/>
    <w:rsid w:val="00173B0B"/>
    <w:rsid w:val="00207C24"/>
    <w:rsid w:val="0027019A"/>
    <w:rsid w:val="00303A7E"/>
    <w:rsid w:val="003B5E03"/>
    <w:rsid w:val="0043709D"/>
    <w:rsid w:val="00502065"/>
    <w:rsid w:val="00804912"/>
    <w:rsid w:val="0088021A"/>
    <w:rsid w:val="008953D1"/>
    <w:rsid w:val="008B7D36"/>
    <w:rsid w:val="008C7810"/>
    <w:rsid w:val="009532CB"/>
    <w:rsid w:val="00977876"/>
    <w:rsid w:val="00B073BF"/>
    <w:rsid w:val="00B46549"/>
    <w:rsid w:val="00BD21F8"/>
    <w:rsid w:val="00D5390A"/>
    <w:rsid w:val="00D67DFF"/>
    <w:rsid w:val="00D867FF"/>
    <w:rsid w:val="00EB163C"/>
    <w:rsid w:val="00ED69FC"/>
    <w:rsid w:val="00EE52E1"/>
    <w:rsid w:val="00F27029"/>
    <w:rsid w:val="00FD61DC"/>
    <w:rsid w:val="00FE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8D8E"/>
  <w15:chartTrackingRefBased/>
  <w15:docId w15:val="{7931C938-2A7A-4F42-A091-F2ACA443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1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61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61D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61D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D61D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D61D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61D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61D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61D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1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61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61D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61D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D61D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D61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61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61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61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6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1DC"/>
    <w:pPr>
      <w:numPr>
        <w:ilvl w:val="1"/>
      </w:numPr>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1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D61DC"/>
    <w:pPr>
      <w:spacing w:before="160"/>
      <w:jc w:val="center"/>
    </w:pPr>
    <w:rPr>
      <w:i/>
      <w:iCs/>
      <w:color w:val="404040" w:themeColor="text1" w:themeTint="BF"/>
    </w:rPr>
  </w:style>
  <w:style w:type="character" w:customStyle="1" w:styleId="QuoteChar">
    <w:name w:val="Quote Char"/>
    <w:basedOn w:val="DefaultParagraphFont"/>
    <w:link w:val="Quote"/>
    <w:uiPriority w:val="29"/>
    <w:rsid w:val="00FD61DC"/>
    <w:rPr>
      <w:i/>
      <w:iCs/>
      <w:color w:val="404040" w:themeColor="text1" w:themeTint="BF"/>
    </w:rPr>
  </w:style>
  <w:style w:type="paragraph" w:styleId="ListParagraph">
    <w:name w:val="List Paragraph"/>
    <w:basedOn w:val="Normal"/>
    <w:uiPriority w:val="34"/>
    <w:qFormat/>
    <w:rsid w:val="00FD61DC"/>
    <w:pPr>
      <w:ind w:left="720"/>
      <w:contextualSpacing/>
    </w:pPr>
  </w:style>
  <w:style w:type="character" w:styleId="IntenseEmphasis">
    <w:name w:val="Intense Emphasis"/>
    <w:basedOn w:val="DefaultParagraphFont"/>
    <w:uiPriority w:val="21"/>
    <w:qFormat/>
    <w:rsid w:val="00FD61DC"/>
    <w:rPr>
      <w:i/>
      <w:iCs/>
      <w:color w:val="2F5496" w:themeColor="accent1" w:themeShade="BF"/>
    </w:rPr>
  </w:style>
  <w:style w:type="paragraph" w:styleId="IntenseQuote">
    <w:name w:val="Intense Quote"/>
    <w:basedOn w:val="Normal"/>
    <w:next w:val="Normal"/>
    <w:link w:val="IntenseQuoteChar"/>
    <w:uiPriority w:val="30"/>
    <w:qFormat/>
    <w:rsid w:val="00FD6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61DC"/>
    <w:rPr>
      <w:i/>
      <w:iCs/>
      <w:color w:val="2F5496" w:themeColor="accent1" w:themeShade="BF"/>
    </w:rPr>
  </w:style>
  <w:style w:type="character" w:styleId="IntenseReference">
    <w:name w:val="Intense Reference"/>
    <w:basedOn w:val="DefaultParagraphFont"/>
    <w:uiPriority w:val="32"/>
    <w:qFormat/>
    <w:rsid w:val="00FD61DC"/>
    <w:rPr>
      <w:b/>
      <w:bCs/>
      <w:smallCaps/>
      <w:color w:val="2F5496" w:themeColor="accent1" w:themeShade="BF"/>
      <w:spacing w:val="5"/>
    </w:rPr>
  </w:style>
  <w:style w:type="character" w:styleId="Hyperlink">
    <w:name w:val="Hyperlink"/>
    <w:basedOn w:val="DefaultParagraphFont"/>
    <w:uiPriority w:val="99"/>
    <w:unhideWhenUsed/>
    <w:rsid w:val="00FD61DC"/>
    <w:rPr>
      <w:color w:val="0563C1" w:themeColor="hyperlink"/>
      <w:u w:val="single"/>
    </w:rPr>
  </w:style>
  <w:style w:type="character" w:styleId="UnresolvedMention">
    <w:name w:val="Unresolved Mention"/>
    <w:basedOn w:val="DefaultParagraphFont"/>
    <w:uiPriority w:val="99"/>
    <w:semiHidden/>
    <w:unhideWhenUsed/>
    <w:rsid w:val="00FD61DC"/>
    <w:rPr>
      <w:color w:val="605E5C"/>
      <w:shd w:val="clear" w:color="auto" w:fill="E1DFDD"/>
    </w:rPr>
  </w:style>
  <w:style w:type="table" w:styleId="TableGrid">
    <w:name w:val="Table Grid"/>
    <w:basedOn w:val="TableNormal"/>
    <w:uiPriority w:val="39"/>
    <w:rsid w:val="008B7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3712">
      <w:bodyDiv w:val="1"/>
      <w:marLeft w:val="0"/>
      <w:marRight w:val="0"/>
      <w:marTop w:val="0"/>
      <w:marBottom w:val="0"/>
      <w:divBdr>
        <w:top w:val="none" w:sz="0" w:space="0" w:color="auto"/>
        <w:left w:val="none" w:sz="0" w:space="0" w:color="auto"/>
        <w:bottom w:val="none" w:sz="0" w:space="0" w:color="auto"/>
        <w:right w:val="none" w:sz="0" w:space="0" w:color="auto"/>
      </w:divBdr>
    </w:div>
    <w:div w:id="53937547">
      <w:bodyDiv w:val="1"/>
      <w:marLeft w:val="0"/>
      <w:marRight w:val="0"/>
      <w:marTop w:val="0"/>
      <w:marBottom w:val="0"/>
      <w:divBdr>
        <w:top w:val="none" w:sz="0" w:space="0" w:color="auto"/>
        <w:left w:val="none" w:sz="0" w:space="0" w:color="auto"/>
        <w:bottom w:val="none" w:sz="0" w:space="0" w:color="auto"/>
        <w:right w:val="none" w:sz="0" w:space="0" w:color="auto"/>
      </w:divBdr>
    </w:div>
    <w:div w:id="205991329">
      <w:bodyDiv w:val="1"/>
      <w:marLeft w:val="0"/>
      <w:marRight w:val="0"/>
      <w:marTop w:val="0"/>
      <w:marBottom w:val="0"/>
      <w:divBdr>
        <w:top w:val="none" w:sz="0" w:space="0" w:color="auto"/>
        <w:left w:val="none" w:sz="0" w:space="0" w:color="auto"/>
        <w:bottom w:val="none" w:sz="0" w:space="0" w:color="auto"/>
        <w:right w:val="none" w:sz="0" w:space="0" w:color="auto"/>
      </w:divBdr>
    </w:div>
    <w:div w:id="235165559">
      <w:bodyDiv w:val="1"/>
      <w:marLeft w:val="0"/>
      <w:marRight w:val="0"/>
      <w:marTop w:val="0"/>
      <w:marBottom w:val="0"/>
      <w:divBdr>
        <w:top w:val="none" w:sz="0" w:space="0" w:color="auto"/>
        <w:left w:val="none" w:sz="0" w:space="0" w:color="auto"/>
        <w:bottom w:val="none" w:sz="0" w:space="0" w:color="auto"/>
        <w:right w:val="none" w:sz="0" w:space="0" w:color="auto"/>
      </w:divBdr>
      <w:divsChild>
        <w:div w:id="237206984">
          <w:marLeft w:val="0"/>
          <w:marRight w:val="0"/>
          <w:marTop w:val="600"/>
          <w:marBottom w:val="0"/>
          <w:divBdr>
            <w:top w:val="none" w:sz="0" w:space="0" w:color="auto"/>
            <w:left w:val="none" w:sz="0" w:space="0" w:color="auto"/>
            <w:bottom w:val="none" w:sz="0" w:space="0" w:color="auto"/>
            <w:right w:val="none" w:sz="0" w:space="0" w:color="auto"/>
          </w:divBdr>
        </w:div>
        <w:div w:id="1282222323">
          <w:marLeft w:val="0"/>
          <w:marRight w:val="0"/>
          <w:marTop w:val="0"/>
          <w:marBottom w:val="0"/>
          <w:divBdr>
            <w:top w:val="none" w:sz="0" w:space="0" w:color="auto"/>
            <w:left w:val="none" w:sz="0" w:space="0" w:color="auto"/>
            <w:bottom w:val="none" w:sz="0" w:space="0" w:color="auto"/>
            <w:right w:val="none" w:sz="0" w:space="0" w:color="auto"/>
          </w:divBdr>
          <w:divsChild>
            <w:div w:id="1478451382">
              <w:marLeft w:val="0"/>
              <w:marRight w:val="0"/>
              <w:marTop w:val="0"/>
              <w:marBottom w:val="0"/>
              <w:divBdr>
                <w:top w:val="none" w:sz="0" w:space="0" w:color="auto"/>
                <w:left w:val="none" w:sz="0" w:space="0" w:color="auto"/>
                <w:bottom w:val="none" w:sz="0" w:space="0" w:color="auto"/>
                <w:right w:val="none" w:sz="0" w:space="0" w:color="auto"/>
              </w:divBdr>
              <w:divsChild>
                <w:div w:id="434911728">
                  <w:marLeft w:val="0"/>
                  <w:marRight w:val="0"/>
                  <w:marTop w:val="0"/>
                  <w:marBottom w:val="0"/>
                  <w:divBdr>
                    <w:top w:val="none" w:sz="0" w:space="0" w:color="auto"/>
                    <w:left w:val="none" w:sz="0" w:space="0" w:color="auto"/>
                    <w:bottom w:val="none" w:sz="0" w:space="0" w:color="auto"/>
                    <w:right w:val="none" w:sz="0" w:space="0" w:color="auto"/>
                  </w:divBdr>
                </w:div>
                <w:div w:id="14772573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54945082">
      <w:bodyDiv w:val="1"/>
      <w:marLeft w:val="0"/>
      <w:marRight w:val="0"/>
      <w:marTop w:val="0"/>
      <w:marBottom w:val="0"/>
      <w:divBdr>
        <w:top w:val="none" w:sz="0" w:space="0" w:color="auto"/>
        <w:left w:val="none" w:sz="0" w:space="0" w:color="auto"/>
        <w:bottom w:val="none" w:sz="0" w:space="0" w:color="auto"/>
        <w:right w:val="none" w:sz="0" w:space="0" w:color="auto"/>
      </w:divBdr>
    </w:div>
    <w:div w:id="270825783">
      <w:bodyDiv w:val="1"/>
      <w:marLeft w:val="0"/>
      <w:marRight w:val="0"/>
      <w:marTop w:val="0"/>
      <w:marBottom w:val="0"/>
      <w:divBdr>
        <w:top w:val="none" w:sz="0" w:space="0" w:color="auto"/>
        <w:left w:val="none" w:sz="0" w:space="0" w:color="auto"/>
        <w:bottom w:val="none" w:sz="0" w:space="0" w:color="auto"/>
        <w:right w:val="none" w:sz="0" w:space="0" w:color="auto"/>
      </w:divBdr>
    </w:div>
    <w:div w:id="318075243">
      <w:bodyDiv w:val="1"/>
      <w:marLeft w:val="0"/>
      <w:marRight w:val="0"/>
      <w:marTop w:val="0"/>
      <w:marBottom w:val="0"/>
      <w:divBdr>
        <w:top w:val="none" w:sz="0" w:space="0" w:color="auto"/>
        <w:left w:val="none" w:sz="0" w:space="0" w:color="auto"/>
        <w:bottom w:val="none" w:sz="0" w:space="0" w:color="auto"/>
        <w:right w:val="none" w:sz="0" w:space="0" w:color="auto"/>
      </w:divBdr>
    </w:div>
    <w:div w:id="338119340">
      <w:bodyDiv w:val="1"/>
      <w:marLeft w:val="0"/>
      <w:marRight w:val="0"/>
      <w:marTop w:val="0"/>
      <w:marBottom w:val="0"/>
      <w:divBdr>
        <w:top w:val="none" w:sz="0" w:space="0" w:color="auto"/>
        <w:left w:val="none" w:sz="0" w:space="0" w:color="auto"/>
        <w:bottom w:val="none" w:sz="0" w:space="0" w:color="auto"/>
        <w:right w:val="none" w:sz="0" w:space="0" w:color="auto"/>
      </w:divBdr>
    </w:div>
    <w:div w:id="348723897">
      <w:bodyDiv w:val="1"/>
      <w:marLeft w:val="0"/>
      <w:marRight w:val="0"/>
      <w:marTop w:val="0"/>
      <w:marBottom w:val="0"/>
      <w:divBdr>
        <w:top w:val="none" w:sz="0" w:space="0" w:color="auto"/>
        <w:left w:val="none" w:sz="0" w:space="0" w:color="auto"/>
        <w:bottom w:val="none" w:sz="0" w:space="0" w:color="auto"/>
        <w:right w:val="none" w:sz="0" w:space="0" w:color="auto"/>
      </w:divBdr>
    </w:div>
    <w:div w:id="376511592">
      <w:bodyDiv w:val="1"/>
      <w:marLeft w:val="0"/>
      <w:marRight w:val="0"/>
      <w:marTop w:val="0"/>
      <w:marBottom w:val="0"/>
      <w:divBdr>
        <w:top w:val="none" w:sz="0" w:space="0" w:color="auto"/>
        <w:left w:val="none" w:sz="0" w:space="0" w:color="auto"/>
        <w:bottom w:val="none" w:sz="0" w:space="0" w:color="auto"/>
        <w:right w:val="none" w:sz="0" w:space="0" w:color="auto"/>
      </w:divBdr>
    </w:div>
    <w:div w:id="378091203">
      <w:bodyDiv w:val="1"/>
      <w:marLeft w:val="0"/>
      <w:marRight w:val="0"/>
      <w:marTop w:val="0"/>
      <w:marBottom w:val="0"/>
      <w:divBdr>
        <w:top w:val="none" w:sz="0" w:space="0" w:color="auto"/>
        <w:left w:val="none" w:sz="0" w:space="0" w:color="auto"/>
        <w:bottom w:val="none" w:sz="0" w:space="0" w:color="auto"/>
        <w:right w:val="none" w:sz="0" w:space="0" w:color="auto"/>
      </w:divBdr>
    </w:div>
    <w:div w:id="406076963">
      <w:bodyDiv w:val="1"/>
      <w:marLeft w:val="0"/>
      <w:marRight w:val="0"/>
      <w:marTop w:val="0"/>
      <w:marBottom w:val="0"/>
      <w:divBdr>
        <w:top w:val="none" w:sz="0" w:space="0" w:color="auto"/>
        <w:left w:val="none" w:sz="0" w:space="0" w:color="auto"/>
        <w:bottom w:val="none" w:sz="0" w:space="0" w:color="auto"/>
        <w:right w:val="none" w:sz="0" w:space="0" w:color="auto"/>
      </w:divBdr>
    </w:div>
    <w:div w:id="437793895">
      <w:bodyDiv w:val="1"/>
      <w:marLeft w:val="0"/>
      <w:marRight w:val="0"/>
      <w:marTop w:val="0"/>
      <w:marBottom w:val="0"/>
      <w:divBdr>
        <w:top w:val="none" w:sz="0" w:space="0" w:color="auto"/>
        <w:left w:val="none" w:sz="0" w:space="0" w:color="auto"/>
        <w:bottom w:val="none" w:sz="0" w:space="0" w:color="auto"/>
        <w:right w:val="none" w:sz="0" w:space="0" w:color="auto"/>
      </w:divBdr>
    </w:div>
    <w:div w:id="448790803">
      <w:bodyDiv w:val="1"/>
      <w:marLeft w:val="0"/>
      <w:marRight w:val="0"/>
      <w:marTop w:val="0"/>
      <w:marBottom w:val="0"/>
      <w:divBdr>
        <w:top w:val="none" w:sz="0" w:space="0" w:color="auto"/>
        <w:left w:val="none" w:sz="0" w:space="0" w:color="auto"/>
        <w:bottom w:val="none" w:sz="0" w:space="0" w:color="auto"/>
        <w:right w:val="none" w:sz="0" w:space="0" w:color="auto"/>
      </w:divBdr>
    </w:div>
    <w:div w:id="451559041">
      <w:bodyDiv w:val="1"/>
      <w:marLeft w:val="0"/>
      <w:marRight w:val="0"/>
      <w:marTop w:val="0"/>
      <w:marBottom w:val="0"/>
      <w:divBdr>
        <w:top w:val="none" w:sz="0" w:space="0" w:color="auto"/>
        <w:left w:val="none" w:sz="0" w:space="0" w:color="auto"/>
        <w:bottom w:val="none" w:sz="0" w:space="0" w:color="auto"/>
        <w:right w:val="none" w:sz="0" w:space="0" w:color="auto"/>
      </w:divBdr>
    </w:div>
    <w:div w:id="515537979">
      <w:bodyDiv w:val="1"/>
      <w:marLeft w:val="0"/>
      <w:marRight w:val="0"/>
      <w:marTop w:val="0"/>
      <w:marBottom w:val="0"/>
      <w:divBdr>
        <w:top w:val="none" w:sz="0" w:space="0" w:color="auto"/>
        <w:left w:val="none" w:sz="0" w:space="0" w:color="auto"/>
        <w:bottom w:val="none" w:sz="0" w:space="0" w:color="auto"/>
        <w:right w:val="none" w:sz="0" w:space="0" w:color="auto"/>
      </w:divBdr>
    </w:div>
    <w:div w:id="564411197">
      <w:bodyDiv w:val="1"/>
      <w:marLeft w:val="0"/>
      <w:marRight w:val="0"/>
      <w:marTop w:val="0"/>
      <w:marBottom w:val="0"/>
      <w:divBdr>
        <w:top w:val="none" w:sz="0" w:space="0" w:color="auto"/>
        <w:left w:val="none" w:sz="0" w:space="0" w:color="auto"/>
        <w:bottom w:val="none" w:sz="0" w:space="0" w:color="auto"/>
        <w:right w:val="none" w:sz="0" w:space="0" w:color="auto"/>
      </w:divBdr>
    </w:div>
    <w:div w:id="603809918">
      <w:bodyDiv w:val="1"/>
      <w:marLeft w:val="0"/>
      <w:marRight w:val="0"/>
      <w:marTop w:val="0"/>
      <w:marBottom w:val="0"/>
      <w:divBdr>
        <w:top w:val="none" w:sz="0" w:space="0" w:color="auto"/>
        <w:left w:val="none" w:sz="0" w:space="0" w:color="auto"/>
        <w:bottom w:val="none" w:sz="0" w:space="0" w:color="auto"/>
        <w:right w:val="none" w:sz="0" w:space="0" w:color="auto"/>
      </w:divBdr>
    </w:div>
    <w:div w:id="662857601">
      <w:bodyDiv w:val="1"/>
      <w:marLeft w:val="0"/>
      <w:marRight w:val="0"/>
      <w:marTop w:val="0"/>
      <w:marBottom w:val="0"/>
      <w:divBdr>
        <w:top w:val="none" w:sz="0" w:space="0" w:color="auto"/>
        <w:left w:val="none" w:sz="0" w:space="0" w:color="auto"/>
        <w:bottom w:val="none" w:sz="0" w:space="0" w:color="auto"/>
        <w:right w:val="none" w:sz="0" w:space="0" w:color="auto"/>
      </w:divBdr>
    </w:div>
    <w:div w:id="687366567">
      <w:bodyDiv w:val="1"/>
      <w:marLeft w:val="0"/>
      <w:marRight w:val="0"/>
      <w:marTop w:val="0"/>
      <w:marBottom w:val="0"/>
      <w:divBdr>
        <w:top w:val="none" w:sz="0" w:space="0" w:color="auto"/>
        <w:left w:val="none" w:sz="0" w:space="0" w:color="auto"/>
        <w:bottom w:val="none" w:sz="0" w:space="0" w:color="auto"/>
        <w:right w:val="none" w:sz="0" w:space="0" w:color="auto"/>
      </w:divBdr>
    </w:div>
    <w:div w:id="753354743">
      <w:bodyDiv w:val="1"/>
      <w:marLeft w:val="0"/>
      <w:marRight w:val="0"/>
      <w:marTop w:val="0"/>
      <w:marBottom w:val="0"/>
      <w:divBdr>
        <w:top w:val="none" w:sz="0" w:space="0" w:color="auto"/>
        <w:left w:val="none" w:sz="0" w:space="0" w:color="auto"/>
        <w:bottom w:val="none" w:sz="0" w:space="0" w:color="auto"/>
        <w:right w:val="none" w:sz="0" w:space="0" w:color="auto"/>
      </w:divBdr>
    </w:div>
    <w:div w:id="811755542">
      <w:bodyDiv w:val="1"/>
      <w:marLeft w:val="0"/>
      <w:marRight w:val="0"/>
      <w:marTop w:val="0"/>
      <w:marBottom w:val="0"/>
      <w:divBdr>
        <w:top w:val="none" w:sz="0" w:space="0" w:color="auto"/>
        <w:left w:val="none" w:sz="0" w:space="0" w:color="auto"/>
        <w:bottom w:val="none" w:sz="0" w:space="0" w:color="auto"/>
        <w:right w:val="none" w:sz="0" w:space="0" w:color="auto"/>
      </w:divBdr>
    </w:div>
    <w:div w:id="841551766">
      <w:bodyDiv w:val="1"/>
      <w:marLeft w:val="0"/>
      <w:marRight w:val="0"/>
      <w:marTop w:val="0"/>
      <w:marBottom w:val="0"/>
      <w:divBdr>
        <w:top w:val="none" w:sz="0" w:space="0" w:color="auto"/>
        <w:left w:val="none" w:sz="0" w:space="0" w:color="auto"/>
        <w:bottom w:val="none" w:sz="0" w:space="0" w:color="auto"/>
        <w:right w:val="none" w:sz="0" w:space="0" w:color="auto"/>
      </w:divBdr>
    </w:div>
    <w:div w:id="883059010">
      <w:bodyDiv w:val="1"/>
      <w:marLeft w:val="0"/>
      <w:marRight w:val="0"/>
      <w:marTop w:val="0"/>
      <w:marBottom w:val="0"/>
      <w:divBdr>
        <w:top w:val="none" w:sz="0" w:space="0" w:color="auto"/>
        <w:left w:val="none" w:sz="0" w:space="0" w:color="auto"/>
        <w:bottom w:val="none" w:sz="0" w:space="0" w:color="auto"/>
        <w:right w:val="none" w:sz="0" w:space="0" w:color="auto"/>
      </w:divBdr>
    </w:div>
    <w:div w:id="1085957551">
      <w:bodyDiv w:val="1"/>
      <w:marLeft w:val="0"/>
      <w:marRight w:val="0"/>
      <w:marTop w:val="0"/>
      <w:marBottom w:val="0"/>
      <w:divBdr>
        <w:top w:val="none" w:sz="0" w:space="0" w:color="auto"/>
        <w:left w:val="none" w:sz="0" w:space="0" w:color="auto"/>
        <w:bottom w:val="none" w:sz="0" w:space="0" w:color="auto"/>
        <w:right w:val="none" w:sz="0" w:space="0" w:color="auto"/>
      </w:divBdr>
    </w:div>
    <w:div w:id="1111894909">
      <w:bodyDiv w:val="1"/>
      <w:marLeft w:val="0"/>
      <w:marRight w:val="0"/>
      <w:marTop w:val="0"/>
      <w:marBottom w:val="0"/>
      <w:divBdr>
        <w:top w:val="none" w:sz="0" w:space="0" w:color="auto"/>
        <w:left w:val="none" w:sz="0" w:space="0" w:color="auto"/>
        <w:bottom w:val="none" w:sz="0" w:space="0" w:color="auto"/>
        <w:right w:val="none" w:sz="0" w:space="0" w:color="auto"/>
      </w:divBdr>
    </w:div>
    <w:div w:id="1143277431">
      <w:bodyDiv w:val="1"/>
      <w:marLeft w:val="0"/>
      <w:marRight w:val="0"/>
      <w:marTop w:val="0"/>
      <w:marBottom w:val="0"/>
      <w:divBdr>
        <w:top w:val="none" w:sz="0" w:space="0" w:color="auto"/>
        <w:left w:val="none" w:sz="0" w:space="0" w:color="auto"/>
        <w:bottom w:val="none" w:sz="0" w:space="0" w:color="auto"/>
        <w:right w:val="none" w:sz="0" w:space="0" w:color="auto"/>
      </w:divBdr>
    </w:div>
    <w:div w:id="1157068134">
      <w:bodyDiv w:val="1"/>
      <w:marLeft w:val="0"/>
      <w:marRight w:val="0"/>
      <w:marTop w:val="0"/>
      <w:marBottom w:val="0"/>
      <w:divBdr>
        <w:top w:val="none" w:sz="0" w:space="0" w:color="auto"/>
        <w:left w:val="none" w:sz="0" w:space="0" w:color="auto"/>
        <w:bottom w:val="none" w:sz="0" w:space="0" w:color="auto"/>
        <w:right w:val="none" w:sz="0" w:space="0" w:color="auto"/>
      </w:divBdr>
    </w:div>
    <w:div w:id="1332683405">
      <w:bodyDiv w:val="1"/>
      <w:marLeft w:val="0"/>
      <w:marRight w:val="0"/>
      <w:marTop w:val="0"/>
      <w:marBottom w:val="0"/>
      <w:divBdr>
        <w:top w:val="none" w:sz="0" w:space="0" w:color="auto"/>
        <w:left w:val="none" w:sz="0" w:space="0" w:color="auto"/>
        <w:bottom w:val="none" w:sz="0" w:space="0" w:color="auto"/>
        <w:right w:val="none" w:sz="0" w:space="0" w:color="auto"/>
      </w:divBdr>
      <w:divsChild>
        <w:div w:id="1343699777">
          <w:marLeft w:val="0"/>
          <w:marRight w:val="0"/>
          <w:marTop w:val="600"/>
          <w:marBottom w:val="0"/>
          <w:divBdr>
            <w:top w:val="none" w:sz="0" w:space="0" w:color="auto"/>
            <w:left w:val="none" w:sz="0" w:space="0" w:color="auto"/>
            <w:bottom w:val="none" w:sz="0" w:space="0" w:color="auto"/>
            <w:right w:val="none" w:sz="0" w:space="0" w:color="auto"/>
          </w:divBdr>
        </w:div>
        <w:div w:id="1768887613">
          <w:marLeft w:val="0"/>
          <w:marRight w:val="0"/>
          <w:marTop w:val="0"/>
          <w:marBottom w:val="0"/>
          <w:divBdr>
            <w:top w:val="none" w:sz="0" w:space="0" w:color="auto"/>
            <w:left w:val="none" w:sz="0" w:space="0" w:color="auto"/>
            <w:bottom w:val="none" w:sz="0" w:space="0" w:color="auto"/>
            <w:right w:val="none" w:sz="0" w:space="0" w:color="auto"/>
          </w:divBdr>
          <w:divsChild>
            <w:div w:id="2082487730">
              <w:marLeft w:val="0"/>
              <w:marRight w:val="0"/>
              <w:marTop w:val="0"/>
              <w:marBottom w:val="0"/>
              <w:divBdr>
                <w:top w:val="none" w:sz="0" w:space="0" w:color="auto"/>
                <w:left w:val="none" w:sz="0" w:space="0" w:color="auto"/>
                <w:bottom w:val="none" w:sz="0" w:space="0" w:color="auto"/>
                <w:right w:val="none" w:sz="0" w:space="0" w:color="auto"/>
              </w:divBdr>
              <w:divsChild>
                <w:div w:id="1952276033">
                  <w:marLeft w:val="0"/>
                  <w:marRight w:val="0"/>
                  <w:marTop w:val="0"/>
                  <w:marBottom w:val="75"/>
                  <w:divBdr>
                    <w:top w:val="none" w:sz="0" w:space="0" w:color="auto"/>
                    <w:left w:val="none" w:sz="0" w:space="0" w:color="auto"/>
                    <w:bottom w:val="none" w:sz="0" w:space="0" w:color="auto"/>
                    <w:right w:val="none" w:sz="0" w:space="0" w:color="auto"/>
                  </w:divBdr>
                </w:div>
                <w:div w:id="20651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6391">
      <w:bodyDiv w:val="1"/>
      <w:marLeft w:val="0"/>
      <w:marRight w:val="0"/>
      <w:marTop w:val="0"/>
      <w:marBottom w:val="0"/>
      <w:divBdr>
        <w:top w:val="none" w:sz="0" w:space="0" w:color="auto"/>
        <w:left w:val="none" w:sz="0" w:space="0" w:color="auto"/>
        <w:bottom w:val="none" w:sz="0" w:space="0" w:color="auto"/>
        <w:right w:val="none" w:sz="0" w:space="0" w:color="auto"/>
      </w:divBdr>
    </w:div>
    <w:div w:id="1403137698">
      <w:bodyDiv w:val="1"/>
      <w:marLeft w:val="0"/>
      <w:marRight w:val="0"/>
      <w:marTop w:val="0"/>
      <w:marBottom w:val="0"/>
      <w:divBdr>
        <w:top w:val="none" w:sz="0" w:space="0" w:color="auto"/>
        <w:left w:val="none" w:sz="0" w:space="0" w:color="auto"/>
        <w:bottom w:val="none" w:sz="0" w:space="0" w:color="auto"/>
        <w:right w:val="none" w:sz="0" w:space="0" w:color="auto"/>
      </w:divBdr>
    </w:div>
    <w:div w:id="1533418696">
      <w:bodyDiv w:val="1"/>
      <w:marLeft w:val="0"/>
      <w:marRight w:val="0"/>
      <w:marTop w:val="0"/>
      <w:marBottom w:val="0"/>
      <w:divBdr>
        <w:top w:val="none" w:sz="0" w:space="0" w:color="auto"/>
        <w:left w:val="none" w:sz="0" w:space="0" w:color="auto"/>
        <w:bottom w:val="none" w:sz="0" w:space="0" w:color="auto"/>
        <w:right w:val="none" w:sz="0" w:space="0" w:color="auto"/>
      </w:divBdr>
    </w:div>
    <w:div w:id="1551500745">
      <w:bodyDiv w:val="1"/>
      <w:marLeft w:val="0"/>
      <w:marRight w:val="0"/>
      <w:marTop w:val="0"/>
      <w:marBottom w:val="0"/>
      <w:divBdr>
        <w:top w:val="none" w:sz="0" w:space="0" w:color="auto"/>
        <w:left w:val="none" w:sz="0" w:space="0" w:color="auto"/>
        <w:bottom w:val="none" w:sz="0" w:space="0" w:color="auto"/>
        <w:right w:val="none" w:sz="0" w:space="0" w:color="auto"/>
      </w:divBdr>
    </w:div>
    <w:div w:id="1606957751">
      <w:bodyDiv w:val="1"/>
      <w:marLeft w:val="0"/>
      <w:marRight w:val="0"/>
      <w:marTop w:val="0"/>
      <w:marBottom w:val="0"/>
      <w:divBdr>
        <w:top w:val="none" w:sz="0" w:space="0" w:color="auto"/>
        <w:left w:val="none" w:sz="0" w:space="0" w:color="auto"/>
        <w:bottom w:val="none" w:sz="0" w:space="0" w:color="auto"/>
        <w:right w:val="none" w:sz="0" w:space="0" w:color="auto"/>
      </w:divBdr>
    </w:div>
    <w:div w:id="1626040238">
      <w:bodyDiv w:val="1"/>
      <w:marLeft w:val="0"/>
      <w:marRight w:val="0"/>
      <w:marTop w:val="0"/>
      <w:marBottom w:val="0"/>
      <w:divBdr>
        <w:top w:val="none" w:sz="0" w:space="0" w:color="auto"/>
        <w:left w:val="none" w:sz="0" w:space="0" w:color="auto"/>
        <w:bottom w:val="none" w:sz="0" w:space="0" w:color="auto"/>
        <w:right w:val="none" w:sz="0" w:space="0" w:color="auto"/>
      </w:divBdr>
    </w:div>
    <w:div w:id="1718502578">
      <w:bodyDiv w:val="1"/>
      <w:marLeft w:val="0"/>
      <w:marRight w:val="0"/>
      <w:marTop w:val="0"/>
      <w:marBottom w:val="0"/>
      <w:divBdr>
        <w:top w:val="none" w:sz="0" w:space="0" w:color="auto"/>
        <w:left w:val="none" w:sz="0" w:space="0" w:color="auto"/>
        <w:bottom w:val="none" w:sz="0" w:space="0" w:color="auto"/>
        <w:right w:val="none" w:sz="0" w:space="0" w:color="auto"/>
      </w:divBdr>
    </w:div>
    <w:div w:id="1722514648">
      <w:bodyDiv w:val="1"/>
      <w:marLeft w:val="0"/>
      <w:marRight w:val="0"/>
      <w:marTop w:val="0"/>
      <w:marBottom w:val="0"/>
      <w:divBdr>
        <w:top w:val="none" w:sz="0" w:space="0" w:color="auto"/>
        <w:left w:val="none" w:sz="0" w:space="0" w:color="auto"/>
        <w:bottom w:val="none" w:sz="0" w:space="0" w:color="auto"/>
        <w:right w:val="none" w:sz="0" w:space="0" w:color="auto"/>
      </w:divBdr>
    </w:div>
    <w:div w:id="1730303397">
      <w:bodyDiv w:val="1"/>
      <w:marLeft w:val="0"/>
      <w:marRight w:val="0"/>
      <w:marTop w:val="0"/>
      <w:marBottom w:val="0"/>
      <w:divBdr>
        <w:top w:val="none" w:sz="0" w:space="0" w:color="auto"/>
        <w:left w:val="none" w:sz="0" w:space="0" w:color="auto"/>
        <w:bottom w:val="none" w:sz="0" w:space="0" w:color="auto"/>
        <w:right w:val="none" w:sz="0" w:space="0" w:color="auto"/>
      </w:divBdr>
    </w:div>
    <w:div w:id="1773357821">
      <w:bodyDiv w:val="1"/>
      <w:marLeft w:val="0"/>
      <w:marRight w:val="0"/>
      <w:marTop w:val="0"/>
      <w:marBottom w:val="0"/>
      <w:divBdr>
        <w:top w:val="none" w:sz="0" w:space="0" w:color="auto"/>
        <w:left w:val="none" w:sz="0" w:space="0" w:color="auto"/>
        <w:bottom w:val="none" w:sz="0" w:space="0" w:color="auto"/>
        <w:right w:val="none" w:sz="0" w:space="0" w:color="auto"/>
      </w:divBdr>
    </w:div>
    <w:div w:id="1861242205">
      <w:bodyDiv w:val="1"/>
      <w:marLeft w:val="0"/>
      <w:marRight w:val="0"/>
      <w:marTop w:val="0"/>
      <w:marBottom w:val="0"/>
      <w:divBdr>
        <w:top w:val="none" w:sz="0" w:space="0" w:color="auto"/>
        <w:left w:val="none" w:sz="0" w:space="0" w:color="auto"/>
        <w:bottom w:val="none" w:sz="0" w:space="0" w:color="auto"/>
        <w:right w:val="none" w:sz="0" w:space="0" w:color="auto"/>
      </w:divBdr>
    </w:div>
    <w:div w:id="1869487656">
      <w:bodyDiv w:val="1"/>
      <w:marLeft w:val="0"/>
      <w:marRight w:val="0"/>
      <w:marTop w:val="0"/>
      <w:marBottom w:val="0"/>
      <w:divBdr>
        <w:top w:val="none" w:sz="0" w:space="0" w:color="auto"/>
        <w:left w:val="none" w:sz="0" w:space="0" w:color="auto"/>
        <w:bottom w:val="none" w:sz="0" w:space="0" w:color="auto"/>
        <w:right w:val="none" w:sz="0" w:space="0" w:color="auto"/>
      </w:divBdr>
    </w:div>
    <w:div w:id="1873834218">
      <w:bodyDiv w:val="1"/>
      <w:marLeft w:val="0"/>
      <w:marRight w:val="0"/>
      <w:marTop w:val="0"/>
      <w:marBottom w:val="0"/>
      <w:divBdr>
        <w:top w:val="none" w:sz="0" w:space="0" w:color="auto"/>
        <w:left w:val="none" w:sz="0" w:space="0" w:color="auto"/>
        <w:bottom w:val="none" w:sz="0" w:space="0" w:color="auto"/>
        <w:right w:val="none" w:sz="0" w:space="0" w:color="auto"/>
      </w:divBdr>
    </w:div>
    <w:div w:id="1906528196">
      <w:bodyDiv w:val="1"/>
      <w:marLeft w:val="0"/>
      <w:marRight w:val="0"/>
      <w:marTop w:val="0"/>
      <w:marBottom w:val="0"/>
      <w:divBdr>
        <w:top w:val="none" w:sz="0" w:space="0" w:color="auto"/>
        <w:left w:val="none" w:sz="0" w:space="0" w:color="auto"/>
        <w:bottom w:val="none" w:sz="0" w:space="0" w:color="auto"/>
        <w:right w:val="none" w:sz="0" w:space="0" w:color="auto"/>
      </w:divBdr>
    </w:div>
    <w:div w:id="1939605583">
      <w:bodyDiv w:val="1"/>
      <w:marLeft w:val="0"/>
      <w:marRight w:val="0"/>
      <w:marTop w:val="0"/>
      <w:marBottom w:val="0"/>
      <w:divBdr>
        <w:top w:val="none" w:sz="0" w:space="0" w:color="auto"/>
        <w:left w:val="none" w:sz="0" w:space="0" w:color="auto"/>
        <w:bottom w:val="none" w:sz="0" w:space="0" w:color="auto"/>
        <w:right w:val="none" w:sz="0" w:space="0" w:color="auto"/>
      </w:divBdr>
    </w:div>
    <w:div w:id="2074086130">
      <w:bodyDiv w:val="1"/>
      <w:marLeft w:val="0"/>
      <w:marRight w:val="0"/>
      <w:marTop w:val="0"/>
      <w:marBottom w:val="0"/>
      <w:divBdr>
        <w:top w:val="none" w:sz="0" w:space="0" w:color="auto"/>
        <w:left w:val="none" w:sz="0" w:space="0" w:color="auto"/>
        <w:bottom w:val="none" w:sz="0" w:space="0" w:color="auto"/>
        <w:right w:val="none" w:sz="0" w:space="0" w:color="auto"/>
      </w:divBdr>
    </w:div>
    <w:div w:id="2094860782">
      <w:bodyDiv w:val="1"/>
      <w:marLeft w:val="0"/>
      <w:marRight w:val="0"/>
      <w:marTop w:val="0"/>
      <w:marBottom w:val="0"/>
      <w:divBdr>
        <w:top w:val="none" w:sz="0" w:space="0" w:color="auto"/>
        <w:left w:val="none" w:sz="0" w:space="0" w:color="auto"/>
        <w:bottom w:val="none" w:sz="0" w:space="0" w:color="auto"/>
        <w:right w:val="none" w:sz="0" w:space="0" w:color="auto"/>
      </w:divBdr>
    </w:div>
    <w:div w:id="21382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Tấn Đại Võ</dc:creator>
  <cp:keywords/>
  <dc:description/>
  <cp:lastModifiedBy>Tấn Đại Võ</cp:lastModifiedBy>
  <cp:revision>1</cp:revision>
  <dcterms:created xsi:type="dcterms:W3CDTF">2025-07-16T07:17:00Z</dcterms:created>
  <dcterms:modified xsi:type="dcterms:W3CDTF">2025-07-17T02:07:00Z</dcterms:modified>
</cp:coreProperties>
</file>