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Ind w:w="-252"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510"/>
        <w:gridCol w:w="6060"/>
      </w:tblGrid>
      <w:tr w:rsidR="006432AE" w:rsidRPr="006432AE" w:rsidTr="006432AE">
        <w:trPr>
          <w:trHeight w:val="990"/>
        </w:trPr>
        <w:tc>
          <w:tcPr>
            <w:tcW w:w="351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CHÍNH PHỦ</w:t>
            </w:r>
          </w:p>
          <w:p w:rsidR="006432AE" w:rsidRPr="006432AE" w:rsidRDefault="006432AE" w:rsidP="006432AE">
            <w:pPr>
              <w:spacing w:before="0" w:after="24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vertAlign w:val="superscript"/>
              </w:rPr>
              <w:t>__________</w:t>
            </w:r>
          </w:p>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color w:val="333333"/>
                <w:sz w:val="20"/>
                <w:szCs w:val="20"/>
              </w:rPr>
              <w:t>Số:          /2025/NĐ-CP</w:t>
            </w:r>
          </w:p>
        </w:tc>
        <w:tc>
          <w:tcPr>
            <w:tcW w:w="606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CỘNG HÒA XÃ HỘI CHỦ NGHĨA VIỆT NAM</w:t>
            </w:r>
            <w:r w:rsidRPr="006432AE">
              <w:rPr>
                <w:rFonts w:ascii="Arial" w:eastAsia="Times New Roman" w:hAnsi="Arial" w:cs="Arial"/>
                <w:b/>
                <w:bCs/>
                <w:color w:val="333333"/>
                <w:sz w:val="20"/>
                <w:szCs w:val="20"/>
              </w:rPr>
              <w:br/>
              <w:t>Độc lập - Tự do - Hạnh phúc</w:t>
            </w:r>
          </w:p>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vertAlign w:val="superscript"/>
              </w:rPr>
              <w:t>______________________________________</w:t>
            </w:r>
          </w:p>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i/>
                <w:iCs/>
                <w:color w:val="333333"/>
                <w:sz w:val="20"/>
                <w:szCs w:val="20"/>
              </w:rPr>
              <w:t>Hà Nội, ngày       tháng </w:t>
            </w:r>
            <w:r w:rsidRPr="006432AE">
              <w:rPr>
                <w:rFonts w:ascii="Arial" w:eastAsia="Times New Roman" w:hAnsi="Arial" w:cs="Arial"/>
                <w:color w:val="333333"/>
                <w:sz w:val="20"/>
                <w:szCs w:val="20"/>
              </w:rPr>
              <w:t> </w:t>
            </w:r>
            <w:r w:rsidRPr="006432AE">
              <w:rPr>
                <w:rFonts w:ascii="Arial" w:eastAsia="Times New Roman" w:hAnsi="Arial" w:cs="Arial"/>
                <w:i/>
                <w:iCs/>
                <w:color w:val="333333"/>
                <w:sz w:val="20"/>
                <w:szCs w:val="20"/>
              </w:rPr>
              <w:t>   năm 2025</w:t>
            </w:r>
          </w:p>
        </w:tc>
      </w:tr>
    </w:tbl>
    <w:p w:rsidR="006432AE" w:rsidRPr="006432AE" w:rsidRDefault="006432AE" w:rsidP="006432AE">
      <w:pPr>
        <w:spacing w:before="100" w:beforeAutospacing="1" w:after="0"/>
        <w:rPr>
          <w:rFonts w:ascii="Arial" w:eastAsia="Times New Roman" w:hAnsi="Arial" w:cs="Arial"/>
          <w:color w:val="333333"/>
          <w:sz w:val="20"/>
          <w:szCs w:val="20"/>
        </w:rPr>
      </w:pPr>
      <w:r w:rsidRPr="006432AE">
        <w:rPr>
          <w:rFonts w:ascii="Arial" w:eastAsia="Times New Roman" w:hAnsi="Arial" w:cs="Arial"/>
          <w:b/>
          <w:bCs/>
          <w:color w:val="333333"/>
          <w:sz w:val="20"/>
          <w:szCs w:val="20"/>
        </w:rPr>
        <w:t>DỰ THẢO</w:t>
      </w:r>
    </w:p>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NGHỊ ĐỊNH</w:t>
      </w:r>
    </w:p>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Q</w:t>
      </w:r>
      <w:r w:rsidRPr="006432AE">
        <w:rPr>
          <w:rFonts w:ascii="Arial" w:eastAsia="Times New Roman" w:hAnsi="Arial" w:cs="Arial"/>
          <w:b/>
          <w:bCs/>
          <w:color w:val="333333"/>
          <w:spacing w:val="-4"/>
          <w:sz w:val="20"/>
          <w:szCs w:val="20"/>
        </w:rPr>
        <w:t>uy định chi tiết </w:t>
      </w:r>
      <w:r w:rsidRPr="006432AE">
        <w:rPr>
          <w:rFonts w:ascii="Arial" w:eastAsia="Times New Roman" w:hAnsi="Arial" w:cs="Arial"/>
          <w:b/>
          <w:bCs/>
          <w:color w:val="333333"/>
          <w:sz w:val="20"/>
          <w:szCs w:val="20"/>
        </w:rPr>
        <w:t>một số điều của Luật Thuế</w:t>
      </w:r>
    </w:p>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thu nhập doanh nghiệp</w:t>
      </w:r>
    </w:p>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vertAlign w:val="superscript"/>
        </w:rPr>
        <w:t>______________</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i/>
          <w:iCs/>
          <w:color w:val="333333"/>
          <w:sz w:val="20"/>
          <w:szCs w:val="20"/>
        </w:rPr>
        <w:t>Căn cứ Luật Tổ chức Chính phủ ngày 18 tháng 02 năm 2025;</w:t>
      </w:r>
    </w:p>
    <w:p w:rsidR="006432AE" w:rsidRPr="006432AE" w:rsidRDefault="006432AE" w:rsidP="006432AE">
      <w:pPr>
        <w:shd w:val="clear" w:color="auto" w:fill="FFFFFF"/>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i/>
          <w:iCs/>
          <w:color w:val="333333"/>
          <w:spacing w:val="-4"/>
          <w:sz w:val="20"/>
          <w:szCs w:val="20"/>
        </w:rPr>
        <w:t>Căn cứ Luật Thuế thu nhập doanh nghiệp số 67/2025/QH15 ngày 14 tháng 6 năm 2025;</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i/>
          <w:iCs/>
          <w:color w:val="333333"/>
          <w:sz w:val="20"/>
          <w:szCs w:val="20"/>
        </w:rPr>
        <w:t>Theo đề nghị của Bộ trưởng Bộ Tài chính;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i/>
          <w:iCs/>
          <w:color w:val="333333"/>
          <w:sz w:val="20"/>
          <w:szCs w:val="20"/>
        </w:rPr>
        <w:t>Chính phủ ban hành Nghị định </w:t>
      </w:r>
      <w:r w:rsidRPr="006432AE">
        <w:rPr>
          <w:rFonts w:ascii="Arial" w:eastAsia="Times New Roman" w:hAnsi="Arial" w:cs="Arial"/>
          <w:i/>
          <w:iCs/>
          <w:color w:val="333333"/>
          <w:spacing w:val="-4"/>
          <w:sz w:val="20"/>
          <w:szCs w:val="20"/>
        </w:rPr>
        <w:t>quy định chi tiết </w:t>
      </w:r>
      <w:r w:rsidRPr="006432AE">
        <w:rPr>
          <w:rFonts w:ascii="Arial" w:eastAsia="Times New Roman" w:hAnsi="Arial" w:cs="Arial"/>
          <w:i/>
          <w:iCs/>
          <w:color w:val="333333"/>
          <w:sz w:val="20"/>
          <w:szCs w:val="20"/>
        </w:rPr>
        <w:t>một số điều của Luật Thuế thu nhập doanh nghiệp </w:t>
      </w:r>
      <w:r w:rsidRPr="006432AE">
        <w:rPr>
          <w:rFonts w:ascii="Arial" w:eastAsia="Times New Roman" w:hAnsi="Arial" w:cs="Arial"/>
          <w:i/>
          <w:iCs/>
          <w:color w:val="333333"/>
          <w:spacing w:val="-4"/>
          <w:sz w:val="20"/>
          <w:szCs w:val="20"/>
        </w:rPr>
        <w:t>số 67/2025/QH15 ngày 14</w:t>
      </w:r>
      <w:r w:rsidRPr="006432AE">
        <w:rPr>
          <w:rFonts w:ascii="Arial" w:eastAsia="Times New Roman" w:hAnsi="Arial" w:cs="Arial"/>
          <w:i/>
          <w:iCs/>
          <w:color w:val="333333"/>
          <w:sz w:val="20"/>
          <w:szCs w:val="20"/>
        </w:rPr>
        <w:t> tháng 6 năm 2025.</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Chương I</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QUY ĐỊNH CHUNG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1. Phạm vi điều chỉnh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Nghị định này quy định chi tiết và hướng dẫn thi hành một số điều của Luật Thuế thu nhập doanh nghiệp về: người nộp thuế; thu nhập chịu thuế; thu nhập miễn thuế; căn cứ và phương pháp tính thuế; ưu đãi thuế và điều kiện áp dụng ưu đãi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2. Người nộp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Người nộp thuế theo quy định tại khoản 1 Điều 2 Luật Thuế thu nhập doanh nghiệp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Doanh nghiệp được thành lập và hoạt động theo quy định của Luật doanh nghiệp, Luật Đầu tư, Luật Kinh doanh bảo hiểm, Luật Chứng khoán, Luật Dầu khí, Luật Thương mại và quy định tại các văn bản pháp luật khác dưới các hình thức như: Công ty cổ phần; công ty trách nhiệm hữu hạn; công ty hợp danh; công ty quản lý quỹ; doanh nghiệp tư nhân; các bên trong hợp đồng hợp tác kinh doanh; các bên trong hợp đồng phân chia sản phẩm dầu khí, xí nghiệp liên doanh dầu khí, công ty điều hành chung.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Doanh nghiệp được thành lập theo quy định của pháp luật Việt Nam nộp thuế đối với thu nhập chịu thuế phát sinh tại Việt Nam và thu nhập chịu thuế phát sinh ngoài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Doanh nghiệp được thành lập theo quy định của pháp luật nước ngoài (sau đây gọi là doanh nghiệp nước ngoài) có cơ sở thường trú hoặc không có cơ sở thường trú tại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Doanh nghiệp nước ngoài có cơ sở thường trú tại Việt Nam nộp thuế đối với thu nhập chịu thuế phát sinh tại Việt Nam và thu nhập chịu thuế phát sinh ngoài Việt Nam liên quan đến hoạt động của cơ sở thường trú đó.</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nghiệp nước ngoài có cơ sở thường trú tại Việt Nam nộp thuế đối với thu nhập chịu thuế phát sinh tại Việt Nam mà khoản thu nhập này không liên quan đến hoạt động của cơ sở thường trú.</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Doanh nghiệp nước ngoài không có cơ sở thường trú tại Việt Nam, bao gồm cả các doanh nghiệp kinh doanh thương mại điện tử, kinh doanh dựa trên nền tảng công nghệ số, nộp thuế đối với thu nhập chịu thuế phát sinh tại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Cơ sở thường trú của doanh nghiệp nước ngoài là cơ sở sản xuất, kinh doanh mà thông qua cơ sở này, doanh nghiệp nước ngoài tiến hành một phần hoặc toàn bộ hoạt động sản xuất, kinh doanh tại Việt Nam,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Chi nhánh, văn phòng điều hành, nhà máy, công xưởng, phương tiện vận tải, mỏ dầu, mỏ khí, mỏ hoặc địa điểm khai thác tài nguyên thiên nhiên khác tại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Địa điểm xây dựng, công trình xây dựng, lắp đặt, lắp ráp.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Cơ sở cung cấp dịch vụ, bao gồm cả dịch vụ tư vấn thông qua người làm công hoặc tổ chức, cá nhân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Đại lý cho doanh nghiệp nước ngoài.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Nền tảng thương mại điện tử, nền tảng số mà thông qua đó doanh nghiệp nước ngoài tiến hành cung cấp hàng hóa, dịch vụ tại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w:t>
      </w:r>
      <w:r w:rsidRPr="006432AE">
        <w:rPr>
          <w:rFonts w:ascii="Arial" w:eastAsia="Times New Roman" w:hAnsi="Arial" w:cs="Arial"/>
          <w:b/>
          <w:bCs/>
          <w:color w:val="333333"/>
          <w:sz w:val="20"/>
          <w:szCs w:val="20"/>
        </w:rPr>
        <w:t>) Tổ chức kinh tế được thành lập và hoạt động theo quy định của Luật Các tổ chức tín dụng</w:t>
      </w:r>
      <w:r w:rsidRPr="006432AE">
        <w:rPr>
          <w:rFonts w:ascii="Arial" w:eastAsia="Times New Roman" w:hAnsi="Arial" w:cs="Arial"/>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 Các đơn vị sự nghiệp công lập, ngoài công lập sản xuất, kinh doanh hàng hóa, dịch vụ có thu nhập chịu thuế theo quy định tại Điều 3 Nghị định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 </w:t>
      </w:r>
      <w:r w:rsidRPr="006432AE">
        <w:rPr>
          <w:rFonts w:ascii="Arial" w:eastAsia="Times New Roman" w:hAnsi="Arial" w:cs="Arial"/>
          <w:b/>
          <w:bCs/>
          <w:color w:val="333333"/>
          <w:sz w:val="20"/>
          <w:szCs w:val="20"/>
        </w:rPr>
        <w:t>Hợp tác xã, liên hiệp hợp tác xã được thành lập theo quy định của Luật Hợp tác xã.</w:t>
      </w:r>
      <w:r w:rsidRPr="006432AE">
        <w:rPr>
          <w:rFonts w:ascii="Arial" w:eastAsia="Times New Roman" w:hAnsi="Arial" w:cs="Arial"/>
          <w:color w:val="333333"/>
          <w:sz w:val="20"/>
          <w:szCs w:val="20"/>
        </w:rPr>
        <w:t>  </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 Tổ chức khác ngoài tổ chức quy định tại các điểm a, b, c, d và đ khoản này có hoạt động sản xuất, kinh doanh có thu nhập chịu thuế theo quy định tại Điều 3 Nghị định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Tổ chức được thành lập và hoạt động (hoặc đăng ký hoạt động) theo quy định của pháp luật Việt Nam (</w:t>
      </w:r>
      <w:r w:rsidRPr="006432AE">
        <w:rPr>
          <w:rFonts w:ascii="Arial" w:eastAsia="Times New Roman" w:hAnsi="Arial" w:cs="Arial"/>
          <w:b/>
          <w:bCs/>
          <w:color w:val="333333"/>
          <w:sz w:val="20"/>
          <w:szCs w:val="20"/>
        </w:rPr>
        <w:t>bao gồm cả tổ chức quản lý sàn giao dịch thương mại, tổ chức quản lý nền tảng số</w:t>
      </w:r>
      <w:r w:rsidRPr="006432AE">
        <w:rPr>
          <w:rFonts w:ascii="Arial" w:eastAsia="Times New Roman" w:hAnsi="Arial" w:cs="Arial"/>
          <w:color w:val="333333"/>
          <w:sz w:val="20"/>
          <w:szCs w:val="20"/>
        </w:rPr>
        <w:t>) là người nộp thuế theo phương pháp khấu trừ tại nguồn trong trường hợp mua hàng hóa, dịch vụ (kể cả mua dịch vụ gắn với hàng hóa, mua hàng hóa được cung cấp, phân phối theo hình thức xuất khẩu, nhập khẩu tại chỗ, kinh doanh thương mại điện tử, kinh doanh dựa trên nền tảng số hoặc theo các điều khoản thương mại quốc tế) trên cơ sở hợp đồng ký kết với doanh nghiệp nước ngoài quy định tại các điểm c, d khoản 2 Điều 2 Luật Thuế thu nhập doanh nghiệp (sửa đổi).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Bộ Tài chính quy định cụ thể nghĩa vụ thuế quy định tại khoản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3.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Thu nhập chịu thuế bao gồm thu nhập từ hoạt động sản xuất, kinh doanh hàng hóa, dịch vụ và thu nhập khác theo quy định tại Khoản 2 Điều này</w:t>
      </w:r>
      <w:r w:rsidRPr="006432AE">
        <w:rPr>
          <w:rFonts w:ascii="Arial" w:eastAsia="Times New Roman" w:hAnsi="Arial" w:cs="Arial"/>
          <w:b/>
          <w:bCs/>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Doanh nghiệp có thu nhập từ ngành, nghề đã đăng ký kinh doanh, bao gồm cả ngành, nghề quy định tại khoản 2 Điều 3 Luật Thuế thu nhập doanh nghiệp thì thu nhập này được xác định là thu nhập từ hoạt động sản xuất, kinh doanh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Thu nhập chịu thuế từ hoạt động khai thác dầu thô, khí thiên nhiên, bao gồm cả các khoản thu nhập khác có liên quan trực tiếp đến hoạt động khai thác dầu thô, khí thiên nhiên phát sinh trong kỳ tính thuế, được xác định theo từng hợp đồng dầu khí.</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Thu nhập khác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a) Thu nhập từ chuyển nhượng vốn, chuyển nhượng chứng khoán, chuyển nhượng quyền góp vốn </w:t>
      </w:r>
      <w:r w:rsidRPr="006432AE">
        <w:rPr>
          <w:rFonts w:ascii="Arial" w:eastAsia="Times New Roman" w:hAnsi="Arial" w:cs="Arial"/>
          <w:b/>
          <w:bCs/>
          <w:color w:val="333333"/>
          <w:sz w:val="20"/>
          <w:szCs w:val="20"/>
        </w:rPr>
        <w:t>quy định tại các Điều 12 và Điều 13 Nghị định này</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không bao gồm khoản thu liên quan trực tiếp đến việc phát hành cổ phiếu (trừ cổ phiếu thuộc loại nợ phải trả) và cổ tức của cổ phiếu (trừ cổ tức của cổ phiếu thuộc loại nợ phải trả), mua bán cổ phiếu quỹ và các khoản thu khác liên quan trực tiếp đến việc tăng, giảm vốn chủ sở hữu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Thu nhập từ chuyển nhượng bất động sản theo quy định tại Điều 14 và Điều 15 Nghị định này, </w:t>
      </w:r>
      <w:r w:rsidRPr="006432AE">
        <w:rPr>
          <w:rFonts w:ascii="Arial" w:eastAsia="Times New Roman" w:hAnsi="Arial" w:cs="Arial"/>
          <w:b/>
          <w:bCs/>
          <w:color w:val="333333"/>
          <w:sz w:val="20"/>
          <w:szCs w:val="20"/>
        </w:rPr>
        <w:t>trừ thu nhập từ chuyển nhượng bất động sản của doanh nghiệp kinh doanh bất động sản quy định tại điểm a khoản 1 Điều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Thu nhập từ chuyển nhượng dự án đầu tư, thu nhập từ chuyển nhượng quyền tham gia dự án đầu tư, thu nhập từ chuyển nhượng quyền thăm dò, khai thác, chế biến khoáng sản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 Thu nhập từ quyền sở hữu, quyền sử dụng tài sản </w:t>
      </w:r>
      <w:r w:rsidRPr="006432AE">
        <w:rPr>
          <w:rFonts w:ascii="Arial" w:eastAsia="Times New Roman" w:hAnsi="Arial" w:cs="Arial"/>
          <w:b/>
          <w:bCs/>
          <w:color w:val="333333"/>
          <w:sz w:val="20"/>
          <w:szCs w:val="20"/>
        </w:rPr>
        <w:t>bao gồm cả tiền thu về bản quyền dưới mọi hình thức trả cho quyền sở hữu, quyền sử dụng tài sản</w:t>
      </w:r>
      <w:r w:rsidRPr="006432AE">
        <w:rPr>
          <w:rFonts w:ascii="Arial" w:eastAsia="Times New Roman" w:hAnsi="Arial" w:cs="Arial"/>
          <w:color w:val="333333"/>
          <w:sz w:val="20"/>
          <w:szCs w:val="20"/>
        </w:rPr>
        <w:t>; thu nhập </w:t>
      </w:r>
      <w:r w:rsidRPr="006432AE">
        <w:rPr>
          <w:rFonts w:ascii="Arial" w:eastAsia="Times New Roman" w:hAnsi="Arial" w:cs="Arial"/>
          <w:b/>
          <w:bCs/>
          <w:color w:val="333333"/>
          <w:sz w:val="20"/>
          <w:szCs w:val="20"/>
        </w:rPr>
        <w:t>về</w:t>
      </w:r>
      <w:r w:rsidRPr="006432AE">
        <w:rPr>
          <w:rFonts w:ascii="Arial" w:eastAsia="Times New Roman" w:hAnsi="Arial" w:cs="Arial"/>
          <w:color w:val="333333"/>
          <w:sz w:val="20"/>
          <w:szCs w:val="20"/>
        </w:rPr>
        <w:t> quyền sở hữu trí tuệ; thu nhập từ chuyển giao công nghệ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Thu nhập từ quyền sở hữu trí tuệ, chuyển giao công nghệ được xác định bằng tổng số tiền thu được trừ (-) giá vốn hoặc chi phí tạo ra quyền sở hữu trí tuệ, công nghệ được chuyển giao, trừ (-) chi phí duy trì, nâng cấp, phát triển quyền sở hữu trí tuệ, công nghệ được chuyển giao và các khoản chi được trừ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 Thu nhập từ cho thuê tài sản dưới mọi hình thức.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Thu nhập từ cho thuê tài sản được xác định bằng doanh thu từ hoạt động cho thuê tài sản trừ (-) các khoản chi: chi phí khấu hao, duy tu, sửa chữa, bảo dưỡng tài sản, chi phí thuê tài sản để cho thuê lại (nếu có) và các chi được trừ khác có liên quan đến việc cho thuê tài sản.</w:t>
      </w:r>
      <w:r w:rsidRPr="006432AE">
        <w:rPr>
          <w:rFonts w:ascii="Arial" w:eastAsia="Times New Roman" w:hAnsi="Arial" w:cs="Arial"/>
          <w:color w:val="333333"/>
          <w:sz w:val="20"/>
          <w:szCs w:val="20"/>
        </w:rPr>
        <w:t>      </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 Thu nhập từ chuyển nhượng, cho thuê, thanh lý tài sản, trong đó có các loại giấy tờ có giá, trừ bất động sản.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Thu nhập từ chuyển nhượng tài sản, thanh lý tài sản quy định tại điểm này được xác định bằng (=) doanh thu thu được từ việc chuyển nhượng tài sản, thanh lý tài sản trừ (-) giá trị còn lại của tài sản chuyển nhượng, thanh lý tại thời điểm chuyển nhượng, thanh lý và các khoản chi phí được trừ liên quan đến việc chuyển nhượng, thanh lý tài sản.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 Thu nhập từ lãi tiền gửi, lãi cho vay vốn, bán ngoại tệ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g.1) Lãi tiền gửi tại các tổ chức tín dụng, lãi cho vay vốn dưới mọi hình thức theo quy định của pháp luật bao gồm cả tiền lãi trả chậm, lãi trả góp, phí bảo lãnh tín dụng và các khoản phí khác trong hợp đồng cho vay vốn; thu nhập từ bán ngoại tệ; khoản chênh lệch tỷ giá do đánh giá lại các khoản nợ phải trả có gốc ngoại tệ cuối kỳ tính thuế; khoản chênh lệch tỷ giá hối đoái phát sinh trong kỳ (</w:t>
      </w:r>
      <w:r w:rsidRPr="006432AE">
        <w:rPr>
          <w:rFonts w:ascii="Arial" w:eastAsia="Times New Roman" w:hAnsi="Arial" w:cs="Arial"/>
          <w:b/>
          <w:bCs/>
          <w:color w:val="333333"/>
          <w:sz w:val="20"/>
          <w:szCs w:val="20"/>
        </w:rPr>
        <w:t>trừ</w:t>
      </w:r>
      <w:r w:rsidRPr="006432AE">
        <w:rPr>
          <w:rFonts w:ascii="Arial" w:eastAsia="Times New Roman" w:hAnsi="Arial" w:cs="Arial"/>
          <w:color w:val="333333"/>
          <w:sz w:val="20"/>
          <w:szCs w:val="20"/>
        </w:rPr>
        <w:t> khoản chênh lệch tỷ giá phát sinh trong quá trình đầu tư xây dựng cơ bản để hình thành tài sản cố định của doanh nghiệp mới thành lập mà tài sản cố định này chưa đi vào hoạt động sản xuất kinh doanh).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Đối với khoản nợ phải thu, khoản cho vay có gốc ngoại tệ phát sinh trong kỳ thì chênh lệch tỷ giá hối đoái của các khoản nợ phải thu, khoản cho vay này là khoản chênh lệch giữa tỷ giá hối đoái tại thời điểm thu hồi nợ với tỷ giá hối đoái tại thời điểm ghi nhận khoản nợ phải thu hoặc khoản cho vay ban đầu.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g.2) Thu nhập từ hoạt động bán ngoại tệ: bằng tổng số tiền thu từ bán ngoại tệ trừ (-) tổng giá mua của số lượng ngoại tệ bán ra.</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g.3) Thu nhập từ chênh lệch tỷ giá, được xác định cụ thể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Trong kỳ tính thuế, doanh nghiệp có chênh lệch tỷ giá phát sinh trong kỳ và chênh lệch tỷ giá do đánh giá lại các khoản nợ phải trả có gốc ngoại tệ cuối kỳ tính thuế, thì:</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xml:space="preserve">- Khoản chênh lệch tỷ giá phát sinh trong kỳ liên quan trực tiếp đến doanh thu, chi phí của hoạt động sản xuất, kinh doanh chính của doanh nghiệp được tính vào chi phí hoặc thu </w:t>
      </w:r>
      <w:r w:rsidRPr="006432AE">
        <w:rPr>
          <w:rFonts w:ascii="Arial" w:eastAsia="Times New Roman" w:hAnsi="Arial" w:cs="Arial"/>
          <w:b/>
          <w:bCs/>
          <w:color w:val="333333"/>
          <w:sz w:val="20"/>
          <w:szCs w:val="20"/>
        </w:rPr>
        <w:lastRenderedPageBreak/>
        <w:t>nhập của hoạt động sản xuất, kinh doanh chính của doanh nghiệp. Khoản chênh lệch tỷ giá phát sinh trong kỳ không liên quan trực tiếp đến doanh thu, chi phí của hoạt động sản xuất, kinh doanh chính của doanh nghiệp, nếu phát sinh lỗ chênh lệch tỷ giá tính vào chi phí tài chính, nếu phát sinh lãi chênh lệch tỷ giá tính vào thu nhập khác khi xác định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Lãi chênh lệch tỷ giá do đánh giá lại các khoản nợ phải trả bằng ngoại tệ cuối kỳ tính thuế được bù trừ với lỗ chênh lệch tỷ giá do đánh giá lại các khoản nợ phải trả bằng ngoại tệ cuối kỳ tính thuế. Sau khi bù trừ lãi hoặc lỗ chênh lệch tỷ giá liên quan trực tiếp đến doanh thu, chi phí của hoạt động sản xuất, kinh doanh chính của doanh nghiệp được tính vào thu nhập hoặc chi phí của hoạt động sản xuất, kinh doanh chính của doanh nghiệp. Lãi hoặc lỗ chênh lệch tỷ giá không liên quan trực tiếp đến doanh thu, chi phí của hoạt động sản xuất, kinh doanh chính của doanh nghiệp được tính vào thu nhập khác hoặc chi phí tài chính khi xác định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Đối với khoản nợ phải thu và khoản cho vay có gốc ngoại tệ phát sinh trong kỳ, chênh lệch tỷ giá hối đoái được tính vào chi phí được trừ hoặc thu nhập là khoản chênh lệch giữa tỷ giá tại thời điểm phát sinh thu hồi nợ hoặc thu hồi khoản cho vay với tỷ giá tại thời điểm ghi nhận khoản nợ phải thu hoặc khoản cho vay ban đầu.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Các khoản chênh lệch tỷ giá nêu trên không bao gồm chênh lệch tỷ giá hối đoái do đánh giá lại số dư cuối năm là: tiền mặt, tiền gửi, tiền đang chuyển, các khoản nợ phải thu có gốc ngoại tệ.</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h) Các khoản trích trước vào chi phí nhưng không sử dụng hoặc sử dụng không hết theo kỳ hạn trích lập mà doanh nghiệp không hạch toán điều chỉnh giảm chi phí, </w:t>
      </w:r>
      <w:r w:rsidRPr="006432AE">
        <w:rPr>
          <w:rFonts w:ascii="Arial" w:eastAsia="Times New Roman" w:hAnsi="Arial" w:cs="Arial"/>
          <w:b/>
          <w:bCs/>
          <w:color w:val="333333"/>
          <w:sz w:val="20"/>
          <w:szCs w:val="20"/>
        </w:rPr>
        <w:t>kể cả khoản hoàn nhập dự phòng bảo hành công trình xây dựng</w:t>
      </w:r>
      <w:r w:rsidRPr="006432AE">
        <w:rPr>
          <w:rFonts w:ascii="Arial" w:eastAsia="Times New Roman" w:hAnsi="Arial" w:cs="Arial"/>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i) Khoản nợ khó đòi đã xóa nay đòi được; khoản nợ phải trả không xác định được chủ nợ; khoản thu nhập từ kinh doanh của những năm trước bị bỏ sót phát hiện ra.</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k) Chênh lệch giữa thu về tiền phạt, tiền bồi thường do vi phạm hợp đồng kinh tế hoặc thưởng do thực hiện tốt cam kết theo hợp đồng (không bao gồm các khoản tiền phạt, tiền bồi thường được ghi giảm giá trị công trình trong giai đoạn đầu tư) trừ (-) đi khoản bị phạt, trả bồi thường do vi phạm hợp đồng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doanh nghiệp có khoản thu về tiền phạt, tiền bồi thường do bên đối tác vi phạm hợp đồng hoặc các khoản thưởng do thực hiện tốt cam kết theo hợp đồng phát sinh cao hơn khoản chi tiền phạt, tiền bồi thường do vi phạm hợp đồng (các khoản phạt này không thuộc các khoản tiền phạt về vi phạm hành chính theo quy định của pháp luật về xử lý vi phạm hành chính), sau khi bù trừ, phần chênh lệch còn lại tính vào thu nhập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doanh nghiệp có khoản thu về tiền phạt, tiền bồi thường do bên đối tác vi phạm hợp đồng hoặc các khoản thưởng do thực hiện tốt cam kết theo hợp đồng phát sinh thấp hơn khoản chi tiền phạt, tiền bồi thường do vi phạm hợp đồng (các khoản phạt này không thuộc các khoản tiền phạt về vi phạm hành chính theo quy định của pháp luật về xử lý vi phạm hành chính), sau khi bù trừ, phần chênh lệch còn lại tính giảm trừ vào thu nhập khác. Trường hợp đơn vị trong năm không phát sinh thu nhập khác thì được giảm trừ vào thu nhập hoạt động sản xuất kinh doanh.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Các khoản thu về tiền phạt, tiền bồi thường nêu trên không bao gồm các khoản tiền phạt, tiền bồi thường được ghi giảm giá trị công trình trong giai đoạn đầu tư.</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l) Quà biếu, quà tặng bằng tiền, bằng hiện vật; thu nhập nhận được bằng tiền, bằng hiện vật từ các nguồn tài trợ; thu nhập nhận được từ các khoản hỗ trợ tiếp thị, hỗ trợ chi phí, chiết khấu thanh toán, thưởng khuyến mại và các khoản hỗ trợ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l.1)</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Các khoản thu nhập nhận được bằng hiện vật, bao gồm cả hàng hóa không phải thanh toán thì giá trị của hiện vật và hàng hóa không phải thanh toán được xác định bằng giá trị của hàng hóa, dịch vụ tương đương tại thời điểm nhận.</w:t>
      </w:r>
      <w:r w:rsidRPr="006432AE">
        <w:rPr>
          <w:rFonts w:ascii="Arial" w:eastAsia="Times New Roman" w:hAnsi="Arial" w:cs="Arial"/>
          <w:color w:val="333333"/>
          <w:sz w:val="20"/>
          <w:szCs w:val="20"/>
        </w:rPr>
        <w:t>     </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l.2) Các khoản tiền, tài sản, lợi ích vật chất khác doanh nghiệp nhận được từ các tổ chức, cá nhân theo thỏa thuận, hợp đồng phù hợp với pháp luật dân sự do doanh nghiệp bàn giao lại vị trí đất cũ để di dời cơ sở sản xuất kinh doanh sau khi trừ các khoản chi phí liên quan như chi phí di dời (chi phí vận chuyển, lắp đặt), giá trị còn lại của tài sản cố định và các chi phí khác (nếu có).</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Riêng các khoản tiền, tài sản, lợi ích vật chất doanh nghiệp nhận được theo chính sách của Nhà nước, được cơ quan Nhà nước có thẩm quyền phê duyệt để di dời cơ sở sản xuất thì thực hiện quản lý, sử dụng theo quy định của pháp luật có liên quan.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m) Chênh lệch do đánh giá lại tài sản theo quy định của pháp luật để góp vốn, điều chuyển khi chia, tách, sáp nhập, hợp nhất, chuyển đổi loại hình doanh nghiệp </w:t>
      </w:r>
      <w:r w:rsidRPr="006432AE">
        <w:rPr>
          <w:rFonts w:ascii="Arial" w:eastAsia="Times New Roman" w:hAnsi="Arial" w:cs="Arial"/>
          <w:b/>
          <w:bCs/>
          <w:color w:val="333333"/>
          <w:sz w:val="20"/>
          <w:szCs w:val="20"/>
        </w:rPr>
        <w:t>(trừ trường hợp quy định tại khoản 9 Điều 4 Nghị định này), được xác định cụ thể như sau</w:t>
      </w:r>
      <w:r w:rsidRPr="006432AE">
        <w:rPr>
          <w:rFonts w:ascii="Arial" w:eastAsia="Times New Roman" w:hAnsi="Arial" w:cs="Arial"/>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m.1) Chênh lệch tăng hoặc giảm do đánh giá lại tài sản là phần chênh lệch giữa giá trị đánh giá lại với giá trị còn lại của tài sản ghi trên sổ sách kế toán và tính một lần vào thu nhập khác (đối với chênh lệch tăng) hoặc giảm trừ thu nhập khác (đối với chênh lệch giảm) trong kỳ tính thuế khi xác định thu nhập chịu thuế thu nhập doanh nghiệp tại doanh nghiệp có tài sản đánh giá lại trước khi thực hiện chia, tách, sáp nhập, hợp nhất, chuyển đổi loại hình doanh nghiệp.</w:t>
      </w:r>
      <w:r w:rsidRPr="006432AE">
        <w:rPr>
          <w:rFonts w:ascii="Arial" w:eastAsia="Times New Roman" w:hAnsi="Arial" w:cs="Arial"/>
          <w:color w:val="333333"/>
          <w:sz w:val="20"/>
          <w:szCs w:val="20"/>
        </w:rPr>
        <w:t> </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doanh nghiệp sau khi chia, tách, sáp nhập, hợp nhất, chuyển đổi loại hình doanh nghiệp đánh giá lại tài sản thì chênh lệch tăng hoặc giảm do đánh giá lại tài sản là phần chênh lệch giữa giá trị đánh giá lại với giá trị đầu tư của tài sản ghi trên sổ sách kế toán và tính một lần vào thu nhập khác (đối với chênh lệch tăng) hoặc giảm trừ thu nhập khác (đối với chênh lệch giảm) trong kỳ tính thuế khi xác định thu nhập chịu thuế thu nhập doanh nghiệp. Trường hợp này doanh nghiệp bị chia, tách, sáp nhập, hợp nhất, chuyển đổi loại hình doanh nghiệp không phải đánh giá lại giá trị tài sản.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m.2) Chênh lệch tăng hoặc giảm do đánh giá lại giá trị quyền sử dụng đất để: góp vốn (mà doanh nghiệp nhận giá trị quyền sử dụng đất được phân bổ dần giá trị đất vào chi phí được trừ), điều chuyển khi chia, tách, hợp nhất, sáp nhập, chuyển đổi loại hình doanh nghiệp, góp vốn vào các dự án đầu tư xây dựng nhà, hạ tầng để bán tính một lần vào thu nhập khác (đối với chênh lệch tăng) hoặc giảm trừ thu nhập khác (đối với chênh lệch giảm) trong kỳ tính thuế khi xác định thu nhập chịu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Riêng chênh lệch tăng do đánh giá lại giá trị quyền sử dụng đất góp vốn vào doanh nghiệp để hình thành tài sản cố định thực hiện sản xuất kinh doanh mà doanh nghiệp nhận giá trị quyền sử dụng đất không được trích khấu hao và không được phân bổ dần giá trị đất vào chi phí được trừ thì phần chênh lệch này được tính dần vào thu nhập khác của doanh nghiệp có quyền sử dụng đất đánh giá lại trong thời gian tối đa không quá 10 năm bắt đầu từ năm giá trị</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quyền sử dụng đất được đem góp vốn. Doanh nghiệp phải có thông báo số năm doanh nghiệp phân bổ vào thu nhập khác khi nộp hồ sơ khai quyết toán thuế thu nhập doanh nghiệp của năm bắt đầu kê khai khoản thu nhập này (năm có đánh giá lại giá trị quyền sử dụng đất đem góp vốn).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sau khi góp vốn, doanh nghiệp tiếp tục thực hiện chuyển nhượng vốn góp bằng giá trị quyền sử dụng đất (bao gồm cả trường hợp chuyển nhượng vốn góp trước thời hạn 10 năm) thì thu nhập từ hoạt động chuyển nhượng vốn góp bằng giá trị quyền sử dụng đất phải tính và kê khai nộp thuế theo thu nhập chuyển nhượng bất động sản.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m.3) Doanh nghiệp nhận tài sản góp vốn, nhận tài sản điều chuyển khi chia, tách, hợp nhất, sáp nhập, chuyển đổi loại hình doanh nghiệp được trích khấu hao hoặc phân bổ dần vào chi phí theo giá trị đánh giá lại (trừ trường hợp giá trị quyền sử dụng đất không được trích khấu hao hoặc phân bổ vào chi phí theo quy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n) Thu nhập từ hợp đồng hợp tác kinh doanh (BCC) được xác định bằng tổng doanh thu theo hợp đồng BCC trừ (-) tổng chi phí liên quan đến việc tạo ra doanh thu của hợp đồng BCC.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n1) Trường hợp các bên tham gia hợp đồng hợp tác kinh doanh phân chia kết quả kinh doanh bằng doanh thu bán hàng hóa, dịch vụ thì doanh thu tính thuế là doanh thu của từng bên được chia theo hợp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n2) Trường hợp các bên tham gia hợp đồng hợp tác kinh doanh phân chia kết quả kinh doanh bằng sản phẩm thì doanh thu tính thuế là doanh thu của sản phẩm được chia cho từng bên theo hợp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n.3) Trường hợp các bên tham gia hợp đồng hợp tác kinh doanh phân chia kết quả kinh doanh bằng lợi nhuận trước thuế, các bên tham gia hợp đồng hợp tác kinh doanh phải cử ra một bên làm đại diện có trách nhiệm xuất hóa đơn, ghi nhận doanh thu, chi phí, xác định lợi nhuận trước thuế thu nhập doanh nghiệp chia cho từng bên tham gia hợp đồng hợp tác kinh doanh. Mỗi bên tham gia hợp đồng hợp tác kinh doanh tự thực hiện nghĩa vụ thuế thu nhập doanh nghiệp của mình theo quy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n.4) Trường hợp các bên tham gia hợp đồng hợp tác kinh doanh phân chia kết quả kinh doanh bằng lợi nhuận sau thuế thu nhập doanh nghiệp, các bên tham gia hợp đồng hợp tác kinh doanh phải cử ra một bên làm đại diện có trách nhiệm xuất hóa đơn, ghi nhận doanh thu, chi phí và kê khai nộp thuế thu nhập doanh nghiệp thay cho các bên còn lại tham gia hợp đồng hợp tác kinh doanh.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o) Các khoản thu nhập nhận được từ hoạt động sản xuất, kinh doanh ở nước ngoài là tổng các khoản thu nhập nhận được trước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p) Thu nhập về tiêu thụ phế liệu, phế phẩm sau khi đã trừ chi phí thu hồi và chi phí tiêu thụ, được xác định cụ thể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Trường hợp doanh nghiệp phát sinh khoản thu nhập từ bán phế liệu, phế phẩm được tạo ra trong quá trình sản xuất của các sản phẩm đang được hưởng ưu đãi thuế thu nhập doanh nghiệp thì khoản thu nhập này được hưởng ưu đãi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Trường hợp doanh nghiệp phát sinh khoản thu nhập từ bán phế liệu, phế phẩm được tạo ra trong quá trình sản xuất của các sản phẩm không được hưởng ưu đãi thuế thu nhập doanh nghiệp thì khoản thu nhập này được tính vào thu nhập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q) Khoản tiền hoàn thuế xuất khẩu, thuế nhập khẩu của hàng hóa đã thực xuất khẩu, thực nhập khẩu phát sinh ngay trong năm quyết toán thuế thu nhập doanh nghiệp thì được tính giảm trừ chi phí trong năm quyết toán đó. Trường hợp khoản tiền hoàn thuế xuất khẩu, thuế nhập khẩu của hàng hóa đã thực xuất khẩu, thực nhập khẩu phát sinh của các năm quyết toán thuế thu nhập doanh nghiệp trước thì tính vào thu nhập khác của năm quyết toán phát sinh khoản thu nhập.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khoản thu nhập này liên quan trực tiếp đến ngành, nghề sản xuất, kinh doanh đang được hưởng ưu đãi thuế thu nhập doanh nghiệp thì khoản thu nhập này được hưởng ưu đãi thuế thu nhập doanh nghiệp. Trường hợp khoản thu nhập này không liên quan trực tiếp ngành, nghề sản xuất, kinh doanh được hưởng ưu đãi thuế thu nhập doanh nghiệp thì khoản thu nhập này tính vào thu nhập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r) Các khoản thu nhập từ các hoạt động góp vốn cổ phần, liên doanh, liên kết kinh tế trong nước được chia từ thu nhập trước khi nộp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s) Trường hợp doanh nghiệp thực hiện tiếp nhận thêm thành viên góp vốn mới theo quy định của pháp luật mà số tiền thành viên góp vốn mới bỏ ra cao hơn giá trị phần vốn góp của thành viên đó trong tổng số vốn điều lệ của doanh nghiệp thì xử lý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Nếu khoản chênh lệch cao hơn này được xác định là thuộc sở hữu của doanh nghiệp, bổ sung vào nguồn vốn sản xuất, kinh doanh thì không tính vào thu nhập chịu thuế để tính thuế thu nhập doanh nghiệp của doanh nghiệp nhận vốn góp.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Nếu khoản chênh lệch cao hơn này được chia cho các thành viên góp vốn cũ thì khoản chênh lệch này là thu nhập của các thành viên góp vốn cũ.</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 Các khoản thu nhập khác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3. </w:t>
      </w:r>
      <w:r w:rsidRPr="006432AE">
        <w:rPr>
          <w:rFonts w:ascii="Arial" w:eastAsia="Times New Roman" w:hAnsi="Arial" w:cs="Arial"/>
          <w:color w:val="333333"/>
          <w:spacing w:val="-2"/>
          <w:sz w:val="20"/>
          <w:szCs w:val="20"/>
        </w:rPr>
        <w:t>Thu nhập chịu thuế phát sinh tại Việt Nam của các doanh nghiệp nước ngoài quy định tại các điểm c, d khoản 2 Điều 2 Luật thuế thu nhập doanh nghiệp là thu nhập nhận được có nguồn gốc từ Việt Nam từ hoạt động cung ứng dịch vụ, cung cấp và phân phối hàng hóa (kể cả hoạt động cung cấp hàng hóa, dịch vụ theo các hình thức kinh doanh thương mại điện tử, kinh doanh dựa trên nền tảng số), cho vay vốn, tiền bản quyền cho tổ chức, cá nhân Việt Nam hoặc cho tổ chức, cá nhân nước ngoài đang kinh doanh tại Việt Nam; từ chuyển nhượng vốn, dự án đầu tư, quyền góp vốn, quyền tham gia các dự án đầu tư, quyền thăm dò, khai thác, chế biến khoáng sản tại Việt Nam, không phụ thuộc vào địa điểm tiến hành kinh doanh</w:t>
      </w:r>
      <w:r w:rsidRPr="006432AE">
        <w:rPr>
          <w:rFonts w:ascii="Arial" w:eastAsia="Times New Roman" w:hAnsi="Arial" w:cs="Arial"/>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Bộ Tài chính quy định chi tiết về nghĩa vụ thuế quy định tại Khoản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4. Thu nhập được miễn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Thu nhập được miễn thuế thực hiện theo quy định tại Điều 4 Luật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Thu nhập từ hoạt động đánh bắt hải sản; thu nhập của doanh nghiệp từ </w:t>
      </w:r>
      <w:r w:rsidRPr="006432AE">
        <w:rPr>
          <w:rFonts w:ascii="Arial" w:eastAsia="Times New Roman" w:hAnsi="Arial" w:cs="Arial"/>
          <w:b/>
          <w:bCs/>
          <w:color w:val="333333"/>
          <w:sz w:val="20"/>
          <w:szCs w:val="20"/>
        </w:rPr>
        <w:t>sản xuất sản phẩm</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cây</w:t>
      </w:r>
      <w:r w:rsidRPr="006432AE">
        <w:rPr>
          <w:rFonts w:ascii="Arial" w:eastAsia="Times New Roman" w:hAnsi="Arial" w:cs="Arial"/>
          <w:color w:val="333333"/>
          <w:sz w:val="20"/>
          <w:szCs w:val="20"/>
        </w:rPr>
        <w:t> trồng, </w:t>
      </w:r>
      <w:r w:rsidRPr="006432AE">
        <w:rPr>
          <w:rFonts w:ascii="Arial" w:eastAsia="Times New Roman" w:hAnsi="Arial" w:cs="Arial"/>
          <w:b/>
          <w:bCs/>
          <w:color w:val="333333"/>
          <w:sz w:val="20"/>
          <w:szCs w:val="20"/>
        </w:rPr>
        <w:t>rừng trồng,</w:t>
      </w:r>
      <w:r w:rsidRPr="006432AE">
        <w:rPr>
          <w:rFonts w:ascii="Arial" w:eastAsia="Times New Roman" w:hAnsi="Arial" w:cs="Arial"/>
          <w:color w:val="333333"/>
          <w:sz w:val="20"/>
          <w:szCs w:val="20"/>
        </w:rPr>
        <w:t> chăn nuôi, </w:t>
      </w:r>
      <w:r w:rsidRPr="006432AE">
        <w:rPr>
          <w:rFonts w:ascii="Arial" w:eastAsia="Times New Roman" w:hAnsi="Arial" w:cs="Arial"/>
          <w:b/>
          <w:bCs/>
          <w:color w:val="333333"/>
          <w:sz w:val="20"/>
          <w:szCs w:val="20"/>
        </w:rPr>
        <w:t>thủy sản</w:t>
      </w:r>
      <w:r w:rsidRPr="006432AE">
        <w:rPr>
          <w:rFonts w:ascii="Arial" w:eastAsia="Times New Roman" w:hAnsi="Arial" w:cs="Arial"/>
          <w:color w:val="333333"/>
          <w:sz w:val="20"/>
          <w:szCs w:val="20"/>
        </w:rPr>
        <w:t> nuôi trồng</w:t>
      </w:r>
      <w:r w:rsidRPr="006432AE">
        <w:rPr>
          <w:rFonts w:ascii="Arial" w:eastAsia="Times New Roman" w:hAnsi="Arial" w:cs="Arial"/>
          <w:b/>
          <w:bCs/>
          <w:color w:val="333333"/>
          <w:sz w:val="20"/>
          <w:szCs w:val="20"/>
        </w:rPr>
        <w:t>,</w:t>
      </w:r>
      <w:r w:rsidRPr="006432AE">
        <w:rPr>
          <w:rFonts w:ascii="Arial" w:eastAsia="Times New Roman" w:hAnsi="Arial" w:cs="Arial"/>
          <w:color w:val="333333"/>
          <w:sz w:val="20"/>
          <w:szCs w:val="20"/>
        </w:rPr>
        <w:t> chế biến nông sản, thủy sản </w:t>
      </w:r>
      <w:r w:rsidRPr="006432AE">
        <w:rPr>
          <w:rFonts w:ascii="Arial" w:eastAsia="Times New Roman" w:hAnsi="Arial" w:cs="Arial"/>
          <w:b/>
          <w:bCs/>
          <w:color w:val="333333"/>
          <w:sz w:val="20"/>
          <w:szCs w:val="20"/>
        </w:rPr>
        <w:t>(kể cả trường hợp mua sản phẩm nông sản, thủy sản về chế biến, thuê gia công, nhận gia công chế biến)</w:t>
      </w:r>
      <w:r w:rsidRPr="006432AE">
        <w:rPr>
          <w:rFonts w:ascii="Arial" w:eastAsia="Times New Roman" w:hAnsi="Arial" w:cs="Arial"/>
          <w:color w:val="333333"/>
          <w:sz w:val="20"/>
          <w:szCs w:val="20"/>
        </w:rPr>
        <w:t> ở địa bàn có điều kiện kinh tế - xã hội đặc biệt khó khăn; thu nhập của hợp tác xã</w:t>
      </w:r>
      <w:r w:rsidRPr="006432AE">
        <w:rPr>
          <w:rFonts w:ascii="Arial" w:eastAsia="Times New Roman" w:hAnsi="Arial" w:cs="Arial"/>
          <w:b/>
          <w:bCs/>
          <w:color w:val="333333"/>
          <w:sz w:val="20"/>
          <w:szCs w:val="20"/>
        </w:rPr>
        <w:t>, liên hiệp hợp tác</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xã </w:t>
      </w:r>
      <w:r w:rsidRPr="006432AE">
        <w:rPr>
          <w:rFonts w:ascii="Arial" w:eastAsia="Times New Roman" w:hAnsi="Arial" w:cs="Arial"/>
          <w:color w:val="333333"/>
          <w:sz w:val="20"/>
          <w:szCs w:val="20"/>
        </w:rPr>
        <w:t>từ</w:t>
      </w:r>
      <w:r w:rsidRPr="006432AE">
        <w:rPr>
          <w:rFonts w:ascii="Arial" w:eastAsia="Times New Roman" w:hAnsi="Arial" w:cs="Arial"/>
          <w:b/>
          <w:bCs/>
          <w:color w:val="333333"/>
          <w:sz w:val="20"/>
          <w:szCs w:val="20"/>
        </w:rPr>
        <w:t> sản xuất</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sản phẩm</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cây</w:t>
      </w:r>
      <w:r w:rsidRPr="006432AE">
        <w:rPr>
          <w:rFonts w:ascii="Arial" w:eastAsia="Times New Roman" w:hAnsi="Arial" w:cs="Arial"/>
          <w:color w:val="333333"/>
          <w:sz w:val="20"/>
          <w:szCs w:val="20"/>
        </w:rPr>
        <w:t> trồng, </w:t>
      </w:r>
      <w:r w:rsidRPr="006432AE">
        <w:rPr>
          <w:rFonts w:ascii="Arial" w:eastAsia="Times New Roman" w:hAnsi="Arial" w:cs="Arial"/>
          <w:b/>
          <w:bCs/>
          <w:color w:val="333333"/>
          <w:sz w:val="20"/>
          <w:szCs w:val="20"/>
        </w:rPr>
        <w:t>rừng trồng,</w:t>
      </w:r>
      <w:r w:rsidRPr="006432AE">
        <w:rPr>
          <w:rFonts w:ascii="Arial" w:eastAsia="Times New Roman" w:hAnsi="Arial" w:cs="Arial"/>
          <w:color w:val="333333"/>
          <w:sz w:val="20"/>
          <w:szCs w:val="20"/>
        </w:rPr>
        <w:t> chăn nuôi, </w:t>
      </w:r>
      <w:r w:rsidRPr="006432AE">
        <w:rPr>
          <w:rFonts w:ascii="Arial" w:eastAsia="Times New Roman" w:hAnsi="Arial" w:cs="Arial"/>
          <w:b/>
          <w:bCs/>
          <w:color w:val="333333"/>
          <w:sz w:val="20"/>
          <w:szCs w:val="20"/>
        </w:rPr>
        <w:t>thủy sản</w:t>
      </w:r>
      <w:r w:rsidRPr="006432AE">
        <w:rPr>
          <w:rFonts w:ascii="Arial" w:eastAsia="Times New Roman" w:hAnsi="Arial" w:cs="Arial"/>
          <w:color w:val="333333"/>
          <w:sz w:val="20"/>
          <w:szCs w:val="20"/>
        </w:rPr>
        <w:t> nuôi trồng, chế biến nông sản, thủy sản </w:t>
      </w:r>
      <w:r w:rsidRPr="006432AE">
        <w:rPr>
          <w:rFonts w:ascii="Arial" w:eastAsia="Times New Roman" w:hAnsi="Arial" w:cs="Arial"/>
          <w:b/>
          <w:bCs/>
          <w:color w:val="333333"/>
          <w:sz w:val="20"/>
          <w:szCs w:val="20"/>
        </w:rPr>
        <w:t>(kể cả trường hợp mua sản phẩm nông sản, thủy sản về chế biến, thuê gia công, nhận gia công chế biến)</w:t>
      </w:r>
      <w:r w:rsidRPr="006432AE">
        <w:rPr>
          <w:rFonts w:ascii="Arial" w:eastAsia="Times New Roman" w:hAnsi="Arial" w:cs="Arial"/>
          <w:color w:val="333333"/>
          <w:sz w:val="20"/>
          <w:szCs w:val="20"/>
        </w:rPr>
        <w:t>, sản xuất muối.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Thu nhập từ </w:t>
      </w:r>
      <w:r w:rsidRPr="006432AE">
        <w:rPr>
          <w:rFonts w:ascii="Arial" w:eastAsia="Times New Roman" w:hAnsi="Arial" w:cs="Arial"/>
          <w:b/>
          <w:bCs/>
          <w:color w:val="333333"/>
          <w:sz w:val="20"/>
          <w:szCs w:val="20"/>
        </w:rPr>
        <w:t>sản xuất </w:t>
      </w:r>
      <w:r w:rsidRPr="006432AE">
        <w:rPr>
          <w:rFonts w:ascii="Arial" w:eastAsia="Times New Roman" w:hAnsi="Arial" w:cs="Arial"/>
          <w:color w:val="333333"/>
          <w:sz w:val="20"/>
          <w:szCs w:val="20"/>
        </w:rPr>
        <w:t>sản phẩm cây trồng, rừng trồng, chăn nuôi, thủy sản nuôi trồng của doanh nghiệp, hợp tác xã, liên hiện hợp tác xã được miễn thuế theo quy định tại Nghị định này là thu nhập từ sản phẩm do doanh nghiệp, hợp tác xã, liên hiệp hợp tác xã tự trồng, chăn nuôi, nuôi trồng, kể cả thu nhập từ thanh lý các sản phẩm cây trồng, rừng trồng, chăn nuôi, thủy sản nuôi trồng, thu nhập từ việc bán phế liệu, phế phẩm liên quan đến các sản phẩm cây trồng, rừng trồng, chăn nuôi, thủy sản nuôi trồng </w:t>
      </w:r>
      <w:r w:rsidRPr="006432AE">
        <w:rPr>
          <w:rFonts w:ascii="Arial" w:eastAsia="Times New Roman" w:hAnsi="Arial" w:cs="Arial"/>
          <w:b/>
          <w:bCs/>
          <w:color w:val="333333"/>
          <w:sz w:val="20"/>
          <w:szCs w:val="20"/>
        </w:rPr>
        <w:t>hoặc tự trồng, chăn nuôi, nuôi trồng sau đó sơ chế thông thường</w:t>
      </w:r>
      <w:r w:rsidRPr="006432AE">
        <w:rPr>
          <w:rFonts w:ascii="Arial" w:eastAsia="Times New Roman" w:hAnsi="Arial" w:cs="Arial"/>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Sản phẩm cây trồng, rừng trồng, chăn nuôi, thủy sản nuôi trồng của hợp tác xã, </w:t>
      </w:r>
      <w:r w:rsidRPr="006432AE">
        <w:rPr>
          <w:rFonts w:ascii="Arial" w:eastAsia="Times New Roman" w:hAnsi="Arial" w:cs="Arial"/>
          <w:b/>
          <w:bCs/>
          <w:color w:val="333333"/>
          <w:sz w:val="20"/>
          <w:szCs w:val="20"/>
        </w:rPr>
        <w:t>liên hiệp hợp tác</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xã</w:t>
      </w:r>
      <w:r w:rsidRPr="006432AE">
        <w:rPr>
          <w:rFonts w:ascii="Arial" w:eastAsia="Times New Roman" w:hAnsi="Arial" w:cs="Arial"/>
          <w:color w:val="333333"/>
          <w:sz w:val="20"/>
          <w:szCs w:val="20"/>
        </w:rPr>
        <w:t> và của doanh nghiệp được xác định căn cứ theo mã ngành kinh tế cấp 1 của ngành nông nghiệp, lâm nghiệp và thủy sản quy định tại Hệ thống ngành kinh tế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Thu nhập của sản phẩm, hàng hóa chế biến từ nông sản, thủy sản (bao gồm cả thu nhập từ việc bán phế liệu, phế phẩm từ hoạt động chế biến nông sản, thủy sản) được ưu đãi thuế (bao gồm cả miễn thuế, giảm thuế; thuế suất ưu đãi) theo quy định tại Nghị định này phải đáp ứng đồng thời các điều kiện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b.1) Tỷ lệ giá trị nguyên vật liệu là nông sản, thủy sản trên chi phí sản xuất hàng hóa, sản phẩm (giá thành hàng hóa, sản phẩm) từ 30% trở lên.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pacing w:val="-2"/>
          <w:sz w:val="20"/>
          <w:szCs w:val="20"/>
        </w:rPr>
        <w:t>Nguyên liệu đầu vào của hoạt động chế biến nông sản, thủy sản phải là nông sản, thủy sản chưa chế biến thành các sản phẩm khác hoặc chỉ qua sơ chế thông thường (bao gồm cả phụ phẩm của quá trình sơ chế nông sản, thủy sản).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b.2) Sản phẩm, hàng hóa từ chế biến nông sản, thủy sản không thuộc đối tượng chịu thuế tiêu thụ đặc biệt </w:t>
      </w:r>
      <w:r w:rsidRPr="006432AE">
        <w:rPr>
          <w:rFonts w:ascii="Arial" w:eastAsia="Times New Roman" w:hAnsi="Arial" w:cs="Arial"/>
          <w:b/>
          <w:bCs/>
          <w:color w:val="333333"/>
          <w:sz w:val="20"/>
          <w:szCs w:val="20"/>
        </w:rPr>
        <w:t>theo quy định của Luật Thuế tiêu thụ đặc biệt</w:t>
      </w:r>
      <w:r w:rsidRPr="006432AE">
        <w:rPr>
          <w:rFonts w:ascii="Arial" w:eastAsia="Times New Roman" w:hAnsi="Arial" w:cs="Arial"/>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Doanh nghiệp phải xác định riêng thu nhập của sản phẩm, hàng hóa chế biến từ nông sản, thủy sản để được hưởng ưu đãi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Việc xác định sản phẩm chỉ qua sơ chế thông thường quy định tại khoản này thực hiện theo quy định tại Nghị định của Chính phủ quy định</w:t>
      </w:r>
      <w:r w:rsidRPr="006432AE">
        <w:rPr>
          <w:rFonts w:ascii="Arial" w:eastAsia="Times New Roman" w:hAnsi="Arial" w:cs="Arial"/>
          <w:b/>
          <w:bCs/>
          <w:color w:val="333333"/>
          <w:spacing w:val="-4"/>
          <w:sz w:val="20"/>
          <w:szCs w:val="20"/>
        </w:rPr>
        <w:t> chi tiết thi hành </w:t>
      </w:r>
      <w:r w:rsidRPr="006432AE">
        <w:rPr>
          <w:rFonts w:ascii="Arial" w:eastAsia="Times New Roman" w:hAnsi="Arial" w:cs="Arial"/>
          <w:b/>
          <w:bCs/>
          <w:color w:val="333333"/>
          <w:sz w:val="20"/>
          <w:szCs w:val="20"/>
        </w:rPr>
        <w:t>một số điều của Luật Thuế giá trị gia tăng.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Thu nhập của hợp tác xã, liên hiệp hợp tác xã hoạt động trong lĩnh vực nông nghiệp, lâm nghiệp, ngư nghiệp, diêm nghiệp ở địa bàn có điều kiện kinh tế - xã hội khó khăn hoặc ở địa bàn có điều kiện kinh tế - xã hội đặc biệt khó khăn.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Hợp tác xã, liên hiệp hợp tác xã hoạt động trong lĩnh vực nông nghiệp, lâm nghiệp, ngư nghiệp, diêm nghiệp được ưu đãi thuế theo quy định tại Nghị định này là hợp tác xã, liên hiệp hợp tác xã </w:t>
      </w:r>
      <w:r w:rsidRPr="006432AE">
        <w:rPr>
          <w:rFonts w:ascii="Arial" w:eastAsia="Times New Roman" w:hAnsi="Arial" w:cs="Arial"/>
          <w:b/>
          <w:bCs/>
          <w:color w:val="333333"/>
          <w:sz w:val="20"/>
          <w:szCs w:val="20"/>
        </w:rPr>
        <w:t>đáp ứng tỷ lệ giá trị giao dịch nội bộ theo quy định tại Nghị định số 113/2024/NĐ-CP ngày 12 tháng 9 năm 2024 của Chính phủ q</w:t>
      </w:r>
      <w:r w:rsidRPr="006432AE">
        <w:rPr>
          <w:rFonts w:ascii="Arial" w:eastAsia="Times New Roman" w:hAnsi="Arial" w:cs="Arial"/>
          <w:b/>
          <w:bCs/>
          <w:color w:val="333333"/>
          <w:sz w:val="20"/>
          <w:szCs w:val="20"/>
          <w:shd w:val="clear" w:color="auto" w:fill="FFFFFF"/>
        </w:rPr>
        <w:t>uy định chi tiết một số điều của </w:t>
      </w:r>
      <w:r w:rsidRPr="006432AE">
        <w:rPr>
          <w:rFonts w:ascii="Arial" w:eastAsia="Times New Roman" w:hAnsi="Arial" w:cs="Arial"/>
          <w:b/>
          <w:bCs/>
          <w:sz w:val="20"/>
          <w:szCs w:val="20"/>
          <w:shd w:val="clear" w:color="auto" w:fill="FFFFFF"/>
        </w:rPr>
        <w:t>Luật Hợp tác xã</w:t>
      </w:r>
      <w:r w:rsidRPr="006432AE">
        <w:rPr>
          <w:rFonts w:ascii="Arial" w:eastAsia="Times New Roman" w:hAnsi="Arial" w:cs="Arial"/>
          <w:b/>
          <w:bCs/>
          <w:color w:val="333333"/>
          <w:sz w:val="20"/>
          <w:szCs w:val="20"/>
        </w:rPr>
        <w:t>.</w:t>
      </w:r>
      <w:r w:rsidRPr="006432AE">
        <w:rPr>
          <w:rFonts w:ascii="Arial" w:eastAsia="Times New Roman" w:hAnsi="Arial" w:cs="Arial"/>
          <w:i/>
          <w:iCs/>
          <w:color w:val="333333"/>
          <w:sz w:val="20"/>
          <w:szCs w:val="20"/>
          <w:shd w:val="clear" w:color="auto" w:fill="FFFFFF"/>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3. Thu nhập từ việc thực hiện dịch vụ kỹ thuật trực tiếp phục vụ nông nghiệp được miễn thuế </w:t>
      </w:r>
      <w:r w:rsidRPr="006432AE">
        <w:rPr>
          <w:rFonts w:ascii="Arial" w:eastAsia="Times New Roman" w:hAnsi="Arial" w:cs="Arial"/>
          <w:b/>
          <w:bCs/>
          <w:color w:val="333333"/>
          <w:sz w:val="20"/>
          <w:szCs w:val="20"/>
        </w:rPr>
        <w:t>gồm: thu nhập từ dịch vụ tưới, tiêu nước, thoát lũ, ngăn lũ, ngăn triều cường, ngăn mặn, rửa mặn, rửa phèn, giữ ngọt; cày, bừa đất; nạo vét kênh, mương nội đồng; dịch vụ phòng trừ sâu, bệnh cho cây trồng, vật nuôi; dịch vụ thu hoạch sản phẩm nông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Các dịch vụ kỹ thuật quy định tại khoản này được xác định căn cứ theo mã ngành kinh tế cấp 1 của ngành nông nghiệp quy định tại Hệ thống ngành kinh tế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Thu nhập từ việc thực hiện hợp đồng nghiên cứu khoa học, phát triển công nghệ và đổi mới sáng tạo, chuyển đổi số, thu nhập từ bán sản phẩm làm ra từ công nghệ mới lần đầu tiên áp dụng ở Việt Nam, thu nhập từ bán sản phẩm sản xuất thử nghiệm trong thời gian sản xuất thử nghiệm </w:t>
      </w:r>
      <w:r w:rsidRPr="006432AE">
        <w:rPr>
          <w:rFonts w:ascii="Arial" w:eastAsia="Times New Roman" w:hAnsi="Arial" w:cs="Arial"/>
          <w:b/>
          <w:bCs/>
          <w:color w:val="333333"/>
          <w:sz w:val="20"/>
          <w:szCs w:val="20"/>
        </w:rPr>
        <w:t>bao gồm cả sản xuất thử nghiệm có kiểm soát</w:t>
      </w:r>
      <w:r w:rsidRPr="006432AE">
        <w:rPr>
          <w:rFonts w:ascii="Arial" w:eastAsia="Times New Roman" w:hAnsi="Arial" w:cs="Arial"/>
          <w:color w:val="333333"/>
          <w:sz w:val="20"/>
          <w:szCs w:val="20"/>
        </w:rPr>
        <w:t> theo quy định của pháp luật được miễn thuế tối đa không quá 03 năm.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Thu nhập từ việc thực hiện hợp đồng nghiên cứu khoa học, phát triển công nghệ và đổi mới sáng tạo, chuyển đổi số theo quy định của pháp luật về khoa học công nghệ và đổi mới sáng tạo, pháp luật về công nghiệp công nghệ số được miễn thuế trong thời gian thực hiện hợp đồng nhưng tối đa không quá 03 năm kể từ khi có thu nhập từ thực hiện hợp đồng nghiên cứu khoa học, phát triển công nghệ và đổi mới sáng tạo, chuyển đổi số.</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Thu nhập từ việc thực hiện hợp đồng nghiên cứu khoa học, phát triển công nghệ và đổi mới sáng tạo, chuyển đổi số được miễn thuế đảm bảo các điều kiện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Có chứng nhận đăng ký hoạt động nghiên cứu khoa học, phát triển công nghệ và đổi mới sáng tạo, chuyển đổi số.</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Được cơ quan có thẩm quyền xác nhận là hợp đồng nghiên cứu khoa học, phát triển công nghệ và đổi mới sáng tạo, chuyển đổi số.</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Thu nhập từ bán sản phẩm làm ra từ công nghệ mới lần đầu tiên áp dụng ở Việt Nam được miễn thuế tối đa không quá 03 năm kể từ khi có thu nhập từ bán sản phẩm.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Sản phẩm làm ra từ công nghệ mới lần đầu tiên được áp dụng tại Việt Nam được miễn thuế phải đảm bảo công nghệ mới lần đầu tiên áp dụng tại Việt Nam được cơ quan có thẩm quyền xác nhận.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Thu nhập từ bán sản phẩm sản xuất thử nghiệm trong thời gian sản xuất thử nghiệm bao gồm cả sản xuất thử nghiệm có kiểm soát</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theo quy định của pháp luật về khoa học công nghệ và đổi mới sáng tạo được miễn thuế tối đa không quá 03 năm kể từ khi có thu nhập từ bán sản phẩm sản xuất thử nghiệm.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Sản phẩm sản xuất thử nghiệm được miễn thuế phải được cơ quan có thẩm quyền xác nhận.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5. Thu nhập từ hoạt động sản xuất, kinh doanh hàng hóa, dịch vụ của doanh nghiệp có từ 30% số lao động bình quân trong năm trở lên là người khuyết tật, người sau cai nghiện </w:t>
      </w:r>
      <w:r w:rsidRPr="006432AE">
        <w:rPr>
          <w:rFonts w:ascii="Arial" w:eastAsia="Times New Roman" w:hAnsi="Arial" w:cs="Arial"/>
          <w:b/>
          <w:bCs/>
          <w:color w:val="333333"/>
          <w:sz w:val="20"/>
          <w:szCs w:val="20"/>
        </w:rPr>
        <w:t>ma túy</w:t>
      </w:r>
      <w:r w:rsidRPr="006432AE">
        <w:rPr>
          <w:rFonts w:ascii="Arial" w:eastAsia="Times New Roman" w:hAnsi="Arial" w:cs="Arial"/>
          <w:color w:val="333333"/>
          <w:sz w:val="20"/>
          <w:szCs w:val="20"/>
        </w:rPr>
        <w:t>, người nhiễm vi rút gây ra hội chứng suy giảm miễn dịch mắc phải ở người (HIV/AIDS) và có số lao động bình quân trong năm từ 20 người trở lên, không bao gồm doanh nghiệp hoạt động trong lĩnh vực tài chính, kinh doanh bất động sản.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Doanh nghiệp được miễn thuế quy định tại khoản này đáp ứng các điều kiện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a.1) Đối với doanh nghiệp có sử dụng lao động là người khuyết tật (bao gồm cả thương binh, bệnh binh) phải có xác nhận của cơ quan y tế có thẩm quyền đối với lao động là người khuyết tật.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a.2) Đối với doanh nghiệp có sử dụng lao động là người sau cai nghiện ma túy phải có giấy chứng nhận hoàn thành cai nghiện của các cơ sở cai nghiện hoặc xác nhận của cơ quan có thẩm quyền liên quan.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a.3) Đối với doanh nghiệp có sử dụng lao động là người nhiễm vi rút gây ra hội chứng suy giảm miễn dịch mắc phải ở người</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HIV/AIDS phải có xác nhận của cơ quan y tế có thẩm quyền đối với lao động là người nhiễm vi rút gây ra hội chứng suy giảm miễn dịch mắc phải ở người</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HIV/AIDS.</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Thu nhập được miễn thuế quy định tại khoản này không bao gồm thu nhập khác quy định tại khoản 2 Điều 3 Nghị định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6. Thu nhập từ hoạt động giáo dục nghề nghiệp, đào tạo nghề nghiệp dành riêng cho người dân tộc thiểu số, người khuyết tật, trẻ em có hoàn cảnh đặc biệt, đối tượng tệ nạn xã hội.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Cơ sở giáo dục nghề nghiệp, đào tạo nghề nghiệp được miễn thuế theo quy định tại khoản này là cơ sở được thành lập theo quy định của pháp luật về giáo dục nghề nghiệp, đào tạo nghề nghiệp và có danh sách các học viên là người dân tộc thiểu số, người khuyết tật, trẻ em có hoàn cảnh đặc biệt, đối tượng tệ nạn xã hội.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Trường hợp cơ sở giáo dục nghề nghiệp, đào tạo nghề nghiệp thực hiện hoạt động giáo dục nghề nghiệp, đào tạo nghề nghiệp cho cả các đối tượng khác thì phần thu nhập được miễn thuế được xác định theo tỷ lệ giữa số người dân tộc thiểu số, người khuyết tật, trẻ em có hoàn cảnh đặc biệt, đối tượng tệ nạn xã hội so với tổng số người học của cơ sở.</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7. Thu nhập được chia từ hoạt động góp vốn, mua cổ phần, liên doanh, liên kết kinh tế với doanh nghiệp trong nước, sau khi bên nhận góp vốn, liên doanh, liên kết đã nộp thuế theo quy định của Luật thuế thu nhập doanh nghiệp, kể cả trường hợp bên nhận góp vốn, bên phát hành cổ phiếu, bên liên doanh, liên kết được hưởng ưu đãi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8. Khoản tài trợ nhận được để sử dụng cho hoạt động giáo dục, văn hóa, nghệ thuật, từ thiện, nhân đạo và hoạt động xã hội khác tại Việt Nam; khoản tài trợ nhận được từ doanh nghiệp không có mối quan hệ liên kết, tổ chức, cá nhân trong nước và ngoài nước để sử dụng cho hoạt động nghiên cứu khoa học, phát triển công nghệ và đổi mới sáng tạo, chuyển đổi số; khoản hỗ trợ trực tiếp từ ngân sách nhà nước và từ Quỹ hỗ trợ đầu tư do Chính phủ thành lập; khoản bồi thường của Nhà nước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Tổ chức nhận tài trợ quy định tại khoản này là tổ chức được thành lập và hoạt động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Doanh nghiệp có mối quan hệ liên kết quy định tại khoản này thực hiện theo quy định của pháp luật về quản lý thuế.   </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Khoản tài trợ</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cho hoạt động nghiên cứu khoa học, phát triển công nghệ và đổi mới sáng tạo, chuyển đổi số thực hiện theo pháp luật về khoa học công nghệ và đổi mới sáng tạo và pháp luật về công nghiệp công nghệ số.</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Khoản hỗ trợ trực tiếp từ ngân sách nhà nước là khoản hỗ trợ từ ngân sách nhà nước các cấp theo quy định của pháp luật về ngân sách nhà nước.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 Khoản bồi thường của Nhà nước quy định tại khoản này được xác định theo pháp luật về trách nhiệm bồi thường của Nhà nước.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 Quỹ hỗ trợ đầu tư là Quỹ được thành lập, quản lý và sử dụng theo quy định tại Nghị định số 182/2024/NĐ-CP ngày 31/12/2024 của Chính phủ.</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khoản tài trợ nhận được tại khoản này mà doanh nghiệp sử dụng không đúng mục đích thì bị truy thu thuế và xử phạt vi phạm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9. Khoản chênh lệch do đánh giá lại tài sản theo quy định của pháp luật để cổ phần hóa, sắp xếp lại doanh nghiệp do nhà nước nắm giữ 100% vốn điều lệ.</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a) Doanh nghiệp do Nhà nước nắm giữ 100% vốn điều lệ thực hiện cổ phần hóa, sắp xếp lại theo quy định của Chính phủ về thành lập, sắp xếp lại, chuyển đổi sở hữu, chuyển giao quyền đại diện chủ sở hữu tại doanh nghiệp do Nhà nước nắm giữ 100% vốn điều lệ.</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Khoản chênh lệch do đánh giá lại tài sản quy định tại khoản này được ghi tăng vào phần vốn của Nhà nước tại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Doanh nghiệp sau cổ phần hóa, sắp xếp lại được trích khấu hao hoặc phân bổ dần vào chi phí theo giá trị đánh giá lại.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10. Thu nhập từ chuyển nhượng chứng chỉ giảm phát thải, chuyển nhượng tín chỉ các-bon lần đầu sau khi phát hành của doanh nghiệp được cấp chứng chỉ giảm phát thải, tín chỉ các-bon; thu nhập từ tiền lãi trái phiếu xanh; thu nhập từ chuyển nhượng trái phiếu xanh lần đầu sau khi phát hành.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Việc chuyển nhượng chứng chỉ giảm phát thải, tín chỉ các-bon, trái phiếu xanh lần đầu sau khi phát hành của doanh nghiệp được cơ quan có thẩm quyền xác nhận.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11. Thu nhập (bao gồm cả lãi tiền gửi ngân hàng, lãi trái phiếu Chính phủ, lãi tín phiếu kho bạc) từ thực hiện nhiệm vụ Nhà nước giao trong các trường hợp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Thu nhập của Ngân hàng Phát triển Việt Nam trong hoạt động tín dụng đầu tư phát triển, tín dụng xuất khẩu.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Thu nhập của Ngân hàng Chính sách xã hội từ hoạt động tín dụng cho người nghèo và các đối tượng chính sách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Thu nhập của Công ty trách nhiệm hữu hạn một thành viên quản lý tài sản của các tổ chức tín dụng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 Thu nhập từ hoạt động có thu của Quỹ Bảo hiểm xã hội Việt Nam, tổ chức Bảo hiểm tiền gửi, Quỹ Bảo hiểm Y tế, Quỹ hỗ trợ học nghề, Quỹ hỗ trợ việc làm ngoài nước, Quỹ hỗ trợ nông dân, Quỹ trợ giúp pháp lý Việt Nam, Quỹ viễn thông công ích, Quỹ đầu tư phát triển địa phương, Quỹ Bảo vệ môi trường Việt Nam, Quỹ bảo lãnh tín dụng cho doanh nghiệp nhỏ và vừa, Quỹ hỗ trợ phát triển Hợp tác xã, Quỹ hỗ trợ phụ nữ nghèo, Quỹ bảo hộ công dân và pháp nhân tại nước ngoài, Quỹ phát triển nhà, Quỹ phát triển doanh nghiệp nhỏ và vừa, Quỹ phát triển khoa học và công nghệ quốc gia, Quỹ đổi mới công nghệ quốc gia, Quỹ phát triển khoa học và công nghệ của Bộ, ngành, địa phương được thành lập theo quy định của Luật Khoa học, công nghệ và đổi mới sáng tạo, Quỹ trợ vốn cho người lao động nghèo tự tạo việc làm, Quỹ phát triển đất, Quỹ công nghiệp quốc phòng, an ninh, Quỹ hỗ trợ đầu tư và quỹ, tổ chức khác của Nhà nước hoạt động không vì mục tiêu lợi nhuận do Chính phủ, Thủ tướng Chính phủ quy định hoặc quyết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các đơn vị phát sinh các khoản thu nhập khác ngoài các khoản thu nhập từ hoạt động có thu do thực hiện nhiệm vụ Nhà nước giao phải tính và nộp thuế theo quy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12. Phần thu nhập không chia của cơ sở thực hiện xã hội hóa trong lĩnh vực giáo dục - đào tạo, y tế và lĩnh vực xã hội hóa khác để lại để đầu tư phát triển cơ sở đó; phần thu nhập hình thành quỹ chung không chia, tài sản chung không chia của hợp tác xã, liên hiệp hợp tác xã được thành lập và hoạt động theo quy định của Luật Hợp tác xã.</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Phần thu nhập không chia của cơ sở thực hiện xã hội hóa được miễn thuế quy định tại khoản này phải đáp ứng tỷ lệ phần thu nhập không chia trên thu nhập tính thuế tối thiểu là 25%.</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Cơ sở thực hiện xã hội hóa quy định tại khoản này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Các cơ sở ngoài công lập được thành lập và có đủ điều kiện hoạt động theo quy định của cơ quan có thẩm quyền trong các lĩnh vực xã hội hóa.</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Các doanh nghiệp được thành lập để hoạt động trong các lĩnh vực xã hội hóa và có đủ điều kiện hoạt động theo quy định của cơ quan có thẩm quyền.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 Các cơ sở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có thẩm quyền.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Cơ sở xã hội hóa phải đáp ứng danh mục loại hình, tiêu chí quy mô, tiêu chuẩn theo danh mục do Thủ tướng Chính phủ quy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Trường hợp phần thu nhập không chia để lại theo quy định tại khoản này mà các đơn vị có chia hoặc chi sai mục đích sẽ bị truy thu thuế và xử phạt vi phạm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13. Thu nhập từ chuyển giao công nghệ thuộc lĩnh vực ưu tiên chuyển giao cho tổ chức, cá nhân ở địa bàn có điều kiện kinh tế - xã hội đặc biệt khó khăn.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Hoạt động chuyển giao công nghệ quy định tại khoản này phải đảm bảo hồ sơ, thủ tục chuyển giao công nghệ theo quy định của pháp luật về chuyển giao công nghệ.</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Lĩnh vực ưu tiên chuyển giao công nghệ là các lĩnh vực thuộc danh mục công nghệ khuyến khích chuyển giao theo quy định của pháp luật về chuyển giao công nghệ.</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14. Thu nhập của đơn vị sự nghiệp công lập từ cung cấp dịch vụ sự nghiệp công,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Dịch vụ sự nghiệp công cơ bản, thiết yếu thuộc danh mục dịch vụ sự nghiệp công sử dụng ngân sách nhà nước.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Dịch vụ sự nghiệp công mà Nhà nước phải hỗ trợ, đảm bảo kinh phí hoạt động do chưa tính đủ chi phí cung cấp dịch vụ trong trong giá dịch vụ.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Dịch vụ sự nghiệp công tại địa bàn có điều kiện kinh tế - xã hội đặc biệt khó khăn.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 Đơn vị sự nghiệp công lập quy định tại khoản này là tổ chức được thành lập theo quyết định của cơ quan có thẩm quyền.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e) Dịch vụ sự nghiệp công, Dịch vụ sự nghiệp công cơ bản, thiết yếu, dịch vụ sự nghiệp công mà Nhà nước phải hỗ trợ, đảm bảo kinh phí hoạt động do chưa tính đủ chi phí </w:t>
      </w:r>
      <w:r w:rsidRPr="006432AE">
        <w:rPr>
          <w:rFonts w:ascii="Arial" w:eastAsia="Times New Roman" w:hAnsi="Arial" w:cs="Arial"/>
          <w:b/>
          <w:bCs/>
          <w:color w:val="333333"/>
          <w:sz w:val="20"/>
          <w:szCs w:val="20"/>
          <w:shd w:val="clear" w:color="auto" w:fill="FFFFFF"/>
        </w:rPr>
        <w:t>xác định theo quy định tại Nghị định số 60/2021/NĐ-CP ngày 21/6/2021 của Chính phủ quy định cơ chế tự chủ tài chính của đơn vị sự nghiệp công lập.</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Chương II</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CĂN CỨ VÀ PHƯƠNG PHÁP TÍNH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Điều 5. Căn cứ tính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1. Căn cứ tính thuế là thu nhập tính thuế trong kỳ tính thuế và thuế suất.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2. Kỳ tính thuế thực hiện theo quy định tại Điều 5 Luật Thuế thu nhập doanh nghiệp (sửa đổi) và quy định của pháp luật quản lý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Điều 6. Xác định thu nhập tính thuế</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Thu nhập tính thuế trong kỳ tính thuế được xác định như sau:</w:t>
      </w:r>
    </w:p>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406"/>
        <w:gridCol w:w="478"/>
        <w:gridCol w:w="1435"/>
        <w:gridCol w:w="448"/>
        <w:gridCol w:w="2092"/>
        <w:gridCol w:w="448"/>
        <w:gridCol w:w="2749"/>
      </w:tblGrid>
      <w:tr w:rsidR="006432AE" w:rsidRPr="006432AE" w:rsidTr="006432AE">
        <w:trPr>
          <w:jc w:val="center"/>
        </w:trPr>
        <w:tc>
          <w:tcPr>
            <w:tcW w:w="141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Thu nhập tính thuế</w:t>
            </w:r>
          </w:p>
        </w:tc>
        <w:tc>
          <w:tcPr>
            <w:tcW w:w="48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w:t>
            </w:r>
          </w:p>
        </w:tc>
        <w:tc>
          <w:tcPr>
            <w:tcW w:w="144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Thu nhập chịu thuế</w:t>
            </w:r>
          </w:p>
        </w:tc>
        <w:tc>
          <w:tcPr>
            <w:tcW w:w="45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w:t>
            </w:r>
          </w:p>
        </w:tc>
        <w:tc>
          <w:tcPr>
            <w:tcW w:w="210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Thu nhập được miễn thuế</w:t>
            </w:r>
          </w:p>
        </w:tc>
        <w:tc>
          <w:tcPr>
            <w:tcW w:w="45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w:t>
            </w:r>
          </w:p>
        </w:tc>
        <w:tc>
          <w:tcPr>
            <w:tcW w:w="276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Các khoản lỗ được kết chuyển theo quy định</w:t>
            </w:r>
          </w:p>
        </w:tc>
      </w:tr>
    </w:tbl>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Thu nhập chịu thuế quy định tại khoản 1 Điều này được xác định như sau:</w:t>
      </w:r>
    </w:p>
    <w:tbl>
      <w:tblPr>
        <w:tblW w:w="9225" w:type="dxa"/>
        <w:tblInd w:w="-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455"/>
        <w:gridCol w:w="495"/>
        <w:gridCol w:w="1485"/>
        <w:gridCol w:w="450"/>
        <w:gridCol w:w="1665"/>
        <w:gridCol w:w="705"/>
        <w:gridCol w:w="2970"/>
      </w:tblGrid>
      <w:tr w:rsidR="006432AE" w:rsidRPr="006432AE" w:rsidTr="006432AE">
        <w:trPr>
          <w:trHeight w:val="1575"/>
        </w:trPr>
        <w:tc>
          <w:tcPr>
            <w:tcW w:w="1455"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Thu nhập chịu thuế</w:t>
            </w:r>
          </w:p>
        </w:tc>
        <w:tc>
          <w:tcPr>
            <w:tcW w:w="495"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w:t>
            </w:r>
          </w:p>
        </w:tc>
        <w:tc>
          <w:tcPr>
            <w:tcW w:w="1485"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Doanh thu</w:t>
            </w:r>
          </w:p>
        </w:tc>
        <w:tc>
          <w:tcPr>
            <w:tcW w:w="45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w:t>
            </w:r>
          </w:p>
        </w:tc>
        <w:tc>
          <w:tcPr>
            <w:tcW w:w="1665"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Các khoản chi được trừ</w:t>
            </w:r>
          </w:p>
        </w:tc>
        <w:tc>
          <w:tcPr>
            <w:tcW w:w="705"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w:t>
            </w:r>
          </w:p>
        </w:tc>
        <w:tc>
          <w:tcPr>
            <w:tcW w:w="2970" w:type="dxa"/>
            <w:tcBorders>
              <w:top w:val="dotted" w:sz="6" w:space="0" w:color="D3D3D3"/>
              <w:left w:val="dotted" w:sz="6" w:space="0" w:color="D3D3D3"/>
              <w:bottom w:val="dotted" w:sz="6" w:space="0" w:color="D3D3D3"/>
              <w:right w:val="dotted" w:sz="6" w:space="0" w:color="D3D3D3"/>
            </w:tcBorders>
            <w:tcMar>
              <w:top w:w="0" w:type="dxa"/>
              <w:left w:w="10" w:type="dxa"/>
              <w:bottom w:w="0" w:type="dxa"/>
              <w:right w:w="10" w:type="dxa"/>
            </w:tcMar>
            <w:vAlign w:val="center"/>
            <w:hideMark/>
          </w:tcPr>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color w:val="333333"/>
                <w:sz w:val="20"/>
                <w:szCs w:val="20"/>
              </w:rPr>
              <w:t>Các khoản thu nhập khác (kể cả thu nhập nhận được ở ngoài Việt Nam)</w:t>
            </w:r>
          </w:p>
        </w:tc>
      </w:tr>
    </w:tbl>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3. Doanh nghiệp có nhiều hoạt động sản xuất, kinh doanh trong kỳ tính thuế thì thu nhập chịu thuế từ hoạt động sản xuất, kinh doanh là tổng thu nhập của tất cả các hoạt động sản xuất, kinh doanh. Trường hợp có hoạt động sản xuất, kinh doanh bị lỗ thì được bù trừ số lỗ vào thu nhập chịu thuế của các hoạt động sản xuất, kinh doanh có thu nhập do doanh nghiệp tự lựa chọn. Riêng thu nhập từ hoạt động chuyển nhượng bất động sản, chuyển nhượng dự án đầu tư, chuyển nhượng quyền tham gia dự án đầu tư không bù trừ với thu nhập (lãi) của hoạt động sản xuất, kinh doanh đang được hưởng ưu đãi thuế. Phần thu nhập còn lại sau khi bù trừ áp dụng mức thuế suất thuế thu nhập doanh nghiệp của hoạt động sản xuất, kinh doanh còn thu nhập.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Thu nhập chịu thuế từ hoạt động chuyển nhượng dự án đầu tư thăm dò, khai thác, chế biến khoáng sản; chuyển nhượng quyền tham gia dự án đầu tư thăm dò, khai thác, chế biến khoáng sản; chuyển nhượng quyền thăm dò, khai thác, chế biến khoáng sản phải xác định riêng để kê khai nộp thuế, không được bù trừ lỗ, lãi với hoạt động sản xuất, kinh doanh trong kỳ tính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7. Xác định lỗ và chuyển lỗ</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1. Lỗ phát sinh trong kỳ tính thuế là số chênh lệch âm (-) về thu nhập tính thuế, chưa bao gồm các khoản lỗ được kết chuyển từ các năm trước chuyển sang, được xác định theo công thức quy định tại khoản 1 Điều 6 Nghị định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2. Doanh nghiệp sau khi quyết toán thuế mà bị lỗ thì chuyển toàn bộ và liên tục số lỗ vào thu nhập (thu nhập chịu thuế đã trừ thu nhập miễn thuế) của những năm tiếp theo. Thời gian chuyển lỗ tính liên tục không quá 5 năm, kể từ năm tiếp sau năm phát sinh lỗ.</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Doanh nghiệp tạm thời chuyển lỗ vào thu nhập của các quý của năm sau khi lập tờ khai tạm nộp quý và chuyển chính thức vào năm sau khi lập tờ khai quyết toán thuế năm.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Doanh nghiệp có số lỗ giữa các quý trong cùng một năm</w:t>
      </w:r>
      <w:r w:rsidRPr="006432AE">
        <w:rPr>
          <w:rFonts w:ascii="Arial" w:eastAsia="Times New Roman" w:hAnsi="Arial" w:cs="Arial"/>
          <w:b/>
          <w:bCs/>
          <w:strike/>
          <w:color w:val="333333"/>
          <w:sz w:val="20"/>
          <w:szCs w:val="20"/>
        </w:rPr>
        <w:t> tài chính</w:t>
      </w:r>
      <w:r w:rsidRPr="006432AE">
        <w:rPr>
          <w:rFonts w:ascii="Arial" w:eastAsia="Times New Roman" w:hAnsi="Arial" w:cs="Arial"/>
          <w:b/>
          <w:bCs/>
          <w:color w:val="333333"/>
          <w:sz w:val="20"/>
          <w:szCs w:val="20"/>
        </w:rPr>
        <w:t> thì được bù trừ số lỗ của quý trước vào các quý tiếp theo của năm</w:t>
      </w:r>
      <w:r w:rsidRPr="006432AE">
        <w:rPr>
          <w:rFonts w:ascii="Arial" w:eastAsia="Times New Roman" w:hAnsi="Arial" w:cs="Arial"/>
          <w:b/>
          <w:bCs/>
          <w:strike/>
          <w:color w:val="333333"/>
          <w:sz w:val="20"/>
          <w:szCs w:val="20"/>
        </w:rPr>
        <w:t> tài chính</w:t>
      </w:r>
      <w:r w:rsidRPr="006432AE">
        <w:rPr>
          <w:rFonts w:ascii="Arial" w:eastAsia="Times New Roman" w:hAnsi="Arial" w:cs="Arial"/>
          <w:b/>
          <w:bCs/>
          <w:color w:val="333333"/>
          <w:sz w:val="20"/>
          <w:szCs w:val="20"/>
        </w:rPr>
        <w:t> đó. Khi quyết toán thuế thu nhập doanh nghiệp, doanh nghiệp xác định số lỗ của cả năm và chuyển toàn bộ và liên tục số lỗ vào thu nhập chịu thuế của những năm tiếp sau năm phát sinh lỗ theo quy định nêu trên.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Doanh nghiệp tự xác định số lỗ được trừ vào thu nhập theo nguyên tắc nêu trên. Trường hợp trong thời gian chuyển lỗ có phát sinh tiếp số lỗ thì số lỗ phát sinh này (không bao gồm số lỗ của kỳ trước chuyển sang) sẽ được chuyển lỗ toàn bộ và liên tục không quá 5 năm, kể từ năm tiếp sau năm phát sinh lỗ.</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cơ quan có thẩm quyền kiểm tra, thanh tra quyết toán thuế thu nhập doanh nghiệp xác định số lỗ doanh nghiệp được chuyển khác với số lỗ do doanh nghiệp tự xác định thì số lỗ được chuyển xác định theo kết luận của cơ quan kiểm tra, thanh tra nhưng đảm bảo chuyển lỗ toàn bộ và liên tục không quá 5 năm, kể từ năm tiếp sau năm phát sinh lỗ theo quy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Quá thời hạn 5 năm kể từ năm tiếp sau năm phát sinh lỗ, nếu số lỗ phát sinh chưa chuyển hết thì sẽ không được chuyển vào thu nhập của các năm tiếp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3.</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Doanh nghiệp có lỗ từ hoạt động chuyển nhượng dự án thăm dò, khai thác khoáng sản; chuyển nhượng quyền tham gia dự án thăm dò, khai thác, chế biến khoáng sản; chuyển nhượng quyền thăm dò, khai thác, chế biến khoáng sản được chuyển lỗ sang năm sau vào thu nhập tính thuế của hoạt động đó.</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Thời gian chuyển lỗ tính liên tục không quá 5 năm, kể từ năm tiếp sau năm phát sinh lỗ.</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xml:space="preserve">4. Doanh nghiệp chuyển đổi loại hình doanh nghiệp, sáp nhập, hợp nhất, chia, tách, giải thể, phá sản phải thực hiện quyết toán thuế với cơ quan thuế đến thời điểm có quyết định chuyển đổi loại hình doanh nghiệp, sáp nhập, hợp nhất, chia, tách, giải thể, phá sản của cơ quan </w:t>
      </w:r>
      <w:r w:rsidRPr="006432AE">
        <w:rPr>
          <w:rFonts w:ascii="Arial" w:eastAsia="Times New Roman" w:hAnsi="Arial" w:cs="Arial"/>
          <w:b/>
          <w:bCs/>
          <w:color w:val="333333"/>
          <w:sz w:val="20"/>
          <w:szCs w:val="20"/>
        </w:rPr>
        <w:lastRenderedPageBreak/>
        <w:t>có thẩm quyền (trừ trường hợp không phải quyết toán thuế theo quy định), số lỗ của doanh nghiệp phát sinh trước khi chuyển đổi, sáp nhập, hợp nhất phải được theo dõi chi tiết theo năm phát sinh và bù trừ vào thu nhập cùng năm của doanh nghiệp sau khi chuyển đổi, sáp nhập, hợp nhất hoặc được tiếp tục chuyển vào thu nhập của các năm tiếp theo của doanh nghiệp sau khi chuyển đổi, sáp nhập, hợp nhất để đảm bảo nguyên tắc chuyển lỗ tính liên tục không quá 5 năm, kể từ năm tiếp sau năm phát sinh lỗ.</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Số lỗ của doanh nghiệp phát sinh trước khi chia, tách thành doanh nghiệp khác và đang còn trong thời gian chuyển lỗ theo quy định thì số lỗ này sẽ được</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phân bổ cho các doanh nghiệp sau khi chia, tách theo tỷ lệ vốn chủ sở hữu được chia, tách.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8. Doanh thu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thu để tính thu nhập chịu thuế thực hiện theo quy định tại Điều 8 Luật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1. 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Đối với doanh nghiệp kê khai, nộp thuế giá trị gia tăng theo phương pháp khấu trừ thuế thì doanh thu tính thuế thu nhập doanh nghiệp là doanh thu không có thuế giá trị gia tăng.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Đối với doanh nghiệp kê khai, nộp thuế giá trị gia tăng theo phương pháp trực tiếp trên giá trị gia tăng thì doanh thu tính thuế thu nhập doanh nghiệp bao gồm cả thuế giá trị gia tăng.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2. Thời điểm xác định doanh thu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Đối với hoạt động bán hàng hoá là thời điểm chuyển giao quyền sở hữu, quyền sử dụng hàng hoá cho người mua.</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Đối với hoạt động cung ứng dịch vụ là thời điểm hoàn thành việc cung ứng dịch vụ hoặc hoàn thành từng phần việc cung ứng dịch vụ cho người mua trừ trường hợp nêu tại khoản 3 Điều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Trường hợp khác theo hướng dẫn của Bộ Tài chính</w:t>
      </w:r>
      <w:r w:rsidRPr="006432AE">
        <w:rPr>
          <w:rFonts w:ascii="Arial" w:eastAsia="Times New Roman" w:hAnsi="Arial" w:cs="Arial"/>
          <w:i/>
          <w:iCs/>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3. Doanh thu để tính thu nhập chịu thuế đối với một số trường hợp được quy định cụ thể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Đối với hoạt động gia công hàng hóa là tiền thu về hoạt động gia công bao gồm cả tiền công, chi phí về nhiên liệu, động lực, vật liệu phụ và chi phí khác phục vụ cho việc gia công hàng hóa.</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Đối với hàng hóa, dịch vụ bán theo phương thức trả góp, trả chậm là tiền bán hàng hóa, dịch vụ trả tiền một lần, không bao gồm tiền lãi trả góp, tiền lãi trả chậm.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Đối với hàng hóa của các đơn vị giao đại lý, ký gửi và nhận đại lý, ký gửi theo hợp đồng đại lý, ký gửi bán đúng giá hưởng hoa hồng được xác định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c.1) Doanh nghiệp giao hàng hóa cho các đại lý (kể cả đại lý bán hàng đa cấp), ký gửi là tổng số tiền bán hàng hóa.</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c.2) Doanh nghiệp nhận làm đại lý, ký gửi bán hàng đúng giá quy định của doanh nghiệp giao đại lý, ký gửi là tiền hoa hồng được hưởng theo hợp đồng đại lý, ký gửi hàng hóa.</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  Đối với hàng hoá, dịch vụ dùng để trao đổi (không bao gồm hàng hoá, dịch vụ sử dụng để tiếp tục quá trình sản xuất, kinh doanh của doanh nghiệp) được xác định theo giá bán của sản phẩm, hàng hoá, dịch vụ cùng loại hoặc tương đương trên thị trường tại thời điểm trao đổi.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đ) Đối với hoạt động cho thuê tài sản là số tiền bên thuê trả từng kỳ theo hợp đồng thuê. Trường hợp bên thuê trả tiền trước cho nhiều năm thì doanh thu để tính thu nhập chịu thuế được phân bổ cho số năm trả tiền trước hoặc được xác định theo doanh thu trả tiền một lần.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nghiệp căn cứ điều kiện thực hiện chế độ kế toán, hóa đơn chứng từ thực tế và việc xác định chi phí, có thể lựa chọn một trong hai phương pháp xác định doanh thu để tính thu nhập chịu thuế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Là số tiền cho thuê tài sản của từng năm được xác định bằng (=) số tiền trả trước chia (:) số năm trả tiền trước.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Là toàn bộ số tiền cho thuê tài sản của số năm trả tiền trước.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đang trong thời gian hưởng ưu đãi thuế thu nhập doanh nghiệp lựa chọn phương pháp xác định doanh thu để tính thu nhập chịu thuế là toàn bộ số tiền thuê bên thuê trả trước cho nhiều năm thì việc xác định số thuế thu nhập doanh nghiệp từng ưu đãi thuế căn cứ vào tổng số thuế thu nhập doanh nghiệp của số năm trả tiền trước chia (:) số năm bên thuê trả tiền trước.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 Đối với hoạt động kinh doanh sân gôn là tiền bán thẻ hội viên, bán vé chơi gôn và các khoản thu khác trong kỳ tính thuế được xác định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e.1) Đối với hình thức bán vé, bán thẻ chơi gôn theo ngày, doanh thu kinh doanh sân gôn làm căn cứ xác định thu nhập tính thuế thu nhập doanh nghiệp là số tiền thu được từ bán vé, bán thẻ và các khoản thu khác phát sinh trong kỳ tính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e.2) Đối với hình thức bán vé, bán thẻ hội viên loại thẻ trả trước cho nhiều năm, doanh thu làm căn cứ xác định thu nhập tính thuế thu nhập doanh nghiệp của từng năm là số tiền bán thẻ và các khoản thu khác thực thu được chia cho số năm sử dụng thẻ hoặc xác định theo doanh thu trả tiền một lần.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 </w:t>
      </w:r>
      <w:r w:rsidRPr="006432AE">
        <w:rPr>
          <w:rFonts w:ascii="Arial" w:eastAsia="Times New Roman" w:hAnsi="Arial" w:cs="Arial"/>
          <w:color w:val="333333"/>
          <w:spacing w:val="-2"/>
          <w:sz w:val="20"/>
          <w:szCs w:val="20"/>
        </w:rPr>
        <w:t>Đối với hoạt động kinh doanh dịch vụ khác mà khách hàng trả tiền trước cho nhiều năm là số tiền bên mua dịch vụ trả từng kỳ theo hợp đồng. Trường hợp bên mua dịch vụ trả tiền trước cho nhiều năm thì doanh thu để tính thu nhập chịu thuế được phân bổ cho số năm trả tiền trước hoặc xác định theo doanh thu trả tiền một lần. Trường hợp doanh nghiệp đang trong thời gian hưởng ưu đãi thuế, việc xác định số thuế được ưu đãi phải căn cứ vào tổng số thuế thu nhập doanh nghiệp phải nộp của số năm thu tiền trước chia (:) cho số năm thu tiền trước.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h) Đối với hoạt động tín dụng của tổ chức tín dụng, chi nhánh ngân hàng nước ngoài là thu từ lãi tiền gửi, thu từ lãi tiền cho vay, doanh thu về cho thuê tài chính phải thu phát sinh trong kỳ tính thuế được hạch toán vào doanh thu theo quy định hiện hành về cơ chế tài chính của tổ chức tín dụng, chi nhánh ngân hàng nước ngoài.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i) Đối với hoạt động kinh doanh chứng khoán là các khoản thu từ dịch vụ môi giới, tự doanh chứng khoán, bảo lãnh phát hành chứng khoán, quản lý danh mục đầu tư, tư vấn tài chính và đầu tư chứng khoán, quản lý quỹ đầu tư, phát hành chứng chỉ quỹ, dịch vụ tổ chức thị trường và các dịch vụ chứng khoán khác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k) Đối với dịch vụ tài chính phái sinh là số tiền thu từ việc cung ứng các dịch vụ tài chính phái sinh thực hiện trong kỳ tính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l) Đối với hoạt động vận tải là toàn bộ doanh thu vận chuyển hành khách, hàng hóa, hành lý phát sinh trong kỳ tính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m) Đối với hoạt động xây dựng, lắp đặt là giá trị công trình, giá trị hạng mục công trình hoặc giá trị khối lượng công trình xây dựng, lắp đặt nghiệm thu.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m.1) Trường hợp xây dựng, lắp đặt có bao thầu nguyên vật liệu, máy móc, thiết bị là số tiền từ hoạt động xây dựng, lắp đặt bao gồm cả giá trị nguyên vật liệu, máy móc, thiết bị.</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m.2) Trường hợp xây dựng, lắp đặt không bao thầu nguyên vật liệu, máy móc, thiết bị là số tiền từ hoạt động xây dựng, lắp đặt không bao gồm giá trị nguyên vật liệu, máy móc, thiết bị.</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n) Đối với hoạt động cung cấp điện, nước sạch là số tiền cung cấp điện, nước sạch ghi trên hóa đơn giá trị gia tăng. Thời điểm xác định doanh thu để tính thu nhập chịu thuế là ngày xác nhận chỉ số công tơ điện và được ghi trên hóa đơn tính tiền điện, tiền nước sạch.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o) Đối với lĩnh vực kinh doanh bảo hiểm, doanh thu để tính thu nhập chịu thuế là toàn bộ số tiền thu được do cung ứng dịch vụ bảo hiểm và hàng hóa, dịch vụ khác, kể cả phụ thu và phí thu thêm mà doanh nghiệp bảo hiểm được hưởng chưa có thuế giá trị gia tăng,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o.1) Doanh thu từ hoạt động kinh doanh bảo hiểm: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Đối với hoạt động kinh doanh bảo hiểm và tái bảo hiểm là số tiền phải thu về thu phí bảo hiểm gốc; thu phí nhận tái bảo hiểm; thu hoa hồng nhượng tái bảo hiểm; thu phí về dịch vụ đại lý bao gồm giám định tổn thất, xét giải quyết bồi thường, yêu cầu người thứ ba bồi hoàn, xử lý hàng bồi thường 100%; </w:t>
      </w:r>
      <w:r w:rsidRPr="006432AE">
        <w:rPr>
          <w:rFonts w:ascii="Arial" w:eastAsia="Times New Roman" w:hAnsi="Arial" w:cs="Arial"/>
          <w:b/>
          <w:bCs/>
          <w:color w:val="333333"/>
          <w:sz w:val="20"/>
          <w:szCs w:val="20"/>
        </w:rPr>
        <w:t>thu phí giám định tổn thất</w:t>
      </w:r>
      <w:r w:rsidRPr="006432AE">
        <w:rPr>
          <w:rFonts w:ascii="Arial" w:eastAsia="Times New Roman" w:hAnsi="Arial" w:cs="Arial"/>
          <w:color w:val="333333"/>
          <w:sz w:val="20"/>
          <w:szCs w:val="20"/>
        </w:rPr>
        <w:t> không kể giám định hộ giữa các doanh nghiệp thành viên hạch toán nội bộ trong cùng một doanh nghiệp bảo hiểm hạch toán độc lập; </w:t>
      </w:r>
      <w:r w:rsidRPr="006432AE">
        <w:rPr>
          <w:rFonts w:ascii="Arial" w:eastAsia="Times New Roman" w:hAnsi="Arial" w:cs="Arial"/>
          <w:b/>
          <w:bCs/>
          <w:color w:val="333333"/>
          <w:sz w:val="20"/>
          <w:szCs w:val="20"/>
        </w:rPr>
        <w:t>thu phí quản lý hợp đồng (leading fee) của doanh nghiệp bảo hiểm, chi nhánh doanh nghiệp bảo hiểm đứng đầu trong trường hợp đồng bảo hiểm</w:t>
      </w:r>
      <w:r w:rsidRPr="006432AE">
        <w:rPr>
          <w:rFonts w:ascii="Arial" w:eastAsia="Times New Roman" w:hAnsi="Arial" w:cs="Arial"/>
          <w:color w:val="333333"/>
          <w:sz w:val="20"/>
          <w:szCs w:val="20"/>
        </w:rPr>
        <w:t> sau khi đã trừ đi các khoản phải chi để giảm thu như: hoàn phí bảo hiểm; giảm phí bảo hiểm; </w:t>
      </w:r>
      <w:r w:rsidRPr="006432AE">
        <w:rPr>
          <w:rFonts w:ascii="Arial" w:eastAsia="Times New Roman" w:hAnsi="Arial" w:cs="Arial"/>
          <w:b/>
          <w:bCs/>
          <w:color w:val="333333"/>
          <w:sz w:val="20"/>
          <w:szCs w:val="20"/>
        </w:rPr>
        <w:t>phí nhượng tái bảo hiểm</w:t>
      </w:r>
      <w:r w:rsidRPr="006432AE">
        <w:rPr>
          <w:rFonts w:ascii="Arial" w:eastAsia="Times New Roman" w:hAnsi="Arial" w:cs="Arial"/>
          <w:color w:val="333333"/>
          <w:sz w:val="20"/>
          <w:szCs w:val="20"/>
        </w:rPr>
        <w:t>; hoàn phí nhận tái bảo hiểm; giảm phí nhận tái bảo hiểm; hoàn hoa hồng nhượng tái bảo hiểm; giảm hoa hồng nhượng tái bảo hiểm.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các doanh nghiệp bảo hiểm tham gia đồng bảo hiểm, doanh thu để tính thu nhập chịu thuế của từng bên là tiền thu phí bảo hiểm gốc được phân bổ theo tỷ lệ đồng bảo hiểm cho mỗi bên chưa bao gồm thuế giá trị gia tăng.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Đối với hợp đồng bảo hiểm thỏa thuận trả tiền theo từng kỳ thì doanh thu để tính thu nhập chịu thuế là số tiền phải thu phát sinh trong từng kỳ.</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có thực hiện các nghiệp vụ thu hộ giữa các doanh nghiệp trực thuộc hoặc giữa doanh nghiệp hạch toán phụ thuộc với trụ sở chính của doanh nghiệp bảo hiểm thì doanh thu để tính thu nhập chịu thuế không bao gồm phần doanh thu thu hộ.</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o.2) Doanh thu hoạt động môi giới bảo hiểm: Các khoản thu hoa hồng môi giới bảo hiểm sau khi trừ các khoản hoa hồng môi giới bảo hiểm, giảm và hoàn hoa hồng môi giới bảo hiểm.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p) Đối với hoạt động kinh doanh dưới hình thức hợp đồng hợp tác kinh doanh là số tiền bán hàng hóa, dịch vụ theo hợp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p.1) Trường hợp các bên tham gia hợp đồng hợp tác kinh doanh phân chia kết quả kinh doanh bằng doanh thu bán hàng hóa, dịch vụ thì doanh thu tính thuế là doanh thu của từng bên được chia theo hợp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p.2) Trường hợp các bên tham gia hợp đồng hợp tác kinh doanh phân chia kết quả kinh doanh bằng sản phẩm thì doanh thu tính thuế là doanh thu của sản phẩm được chia cho từng bên theo hợp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q) Đối với hoạt động tìm kiếm, thăm dò và khai thác dầu thô, khí thiên nhiên là toàn bộ giá trị của sản lượng dầu thô, khí thiên nhiên thực được bán tại điểm giao nhận theo giao dịch sòng phẳng đối với dầu thô, theo hợp đồng mua bán khí đối với khí thiên nhiên trong kỳ tính thuế (không bao gồm thuế giá trị gia tăng).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dầu thô được bán không theo giao dịch sòng phẳng thì doanh thu từ hoạt động khai thác dầu thô được xác định bằng cách lấy khối lượng phần dầu thô nhân với giá bán.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Giao dịch sòng phẳng là việc bán tại thị trường Việt Nam và trên thị trường quốc tế bằng đồng tiền tự do chuyển đổi giữa người bán và người mua tự nguyện và không có liên quan, nhưng không bao gồm việc bán bởi một bên cho một chi nhánh của họ, bán giữa các chính phủ hoặc các tổ chức do chính phủ sở hữu hoặc giao dịch trao đổi hoặc đổi hàng và các lần bán không theo giá thị trường tự do quốc tế.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r) Đối với hoạt động kinh doanh trò chơi có thưởng (casino, trò chơi điện tử có thưởng, kinh doanh có đặt cược) là số tiền thu từ hoạt động này bao gồm cả thuế tiêu thụ đặc biệt trừ số tiền đã trả thưởng cho khách.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s) </w:t>
      </w:r>
      <w:r w:rsidRPr="006432AE">
        <w:rPr>
          <w:rFonts w:ascii="Arial" w:eastAsia="Times New Roman" w:hAnsi="Arial" w:cs="Arial"/>
          <w:b/>
          <w:bCs/>
          <w:color w:val="333333"/>
          <w:sz w:val="20"/>
          <w:szCs w:val="20"/>
        </w:rPr>
        <w:t>Trường hợp khác theo hướng dẫn của Bộ Tài chính.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9. Các khoản chi được trừ và không được trừ khi xác định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Trừ các khoản chi quy định tại khoản 2 Điều này, doanh nghiệp được trừ các khoản chi khi xác định thu nhập chịu thuế nếu đáp ứng đủ các điều kiện sau đây: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Khoản chi thực tế phát sinh liên quan đến hoạt động sản xuất, kinh doanh của doanh nghiệp, bao gồm cả khoản chi phí bổ sung được trừ theo tỷ lệ phần trăm tính trên chi phí thực tế phát sinh trong kỳ tính thuế liên quan đến hoạt động nghiên cứu và phát triển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Khoản chi thực tế phát sinh khác,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b.1) Khoản chi cho thực hiện nhiệm vụ giáo dục quốc phòng và an ninh, huấn luyện, hoạt động của lực lượng dân quân tự vệ và phục vụ các nhiệm vụ quốc phòng, an ninh khác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b.2) Khoản chi hỗ trợ phục vụ cho hoạt động của tổ chức đảng, tổ chức chính trị - xã hội trong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b.3) Khoản chi cho hoạt động giáo dục nghề nghiệp, đào tạo nghề nghiệp cho người lao động </w:t>
      </w:r>
      <w:r w:rsidRPr="006432AE">
        <w:rPr>
          <w:rFonts w:ascii="Arial" w:eastAsia="Times New Roman" w:hAnsi="Arial" w:cs="Arial"/>
          <w:b/>
          <w:bCs/>
          <w:i/>
          <w:iCs/>
          <w:color w:val="333333"/>
          <w:sz w:val="20"/>
          <w:szCs w:val="20"/>
        </w:rPr>
        <w:t>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i/>
          <w:iCs/>
          <w:color w:val="333333"/>
          <w:spacing w:val="-6"/>
          <w:sz w:val="20"/>
          <w:szCs w:val="20"/>
        </w:rPr>
        <w:t>+ Chi phí trả cho người dạy, tài liệu học tập, thiết bị dùng để hoạt động giáo dục nghề nghiệp, vật liệu thực hành, các chi phí khác hỗ trợ cho người học.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i/>
          <w:iCs/>
          <w:color w:val="333333"/>
          <w:sz w:val="20"/>
          <w:szCs w:val="20"/>
        </w:rPr>
        <w:t>+ Chi phí đào tạo của doanh nghiệp cho người lao động được tuyển dụng vào làm việc tại doanh nghiệp</w:t>
      </w:r>
      <w:r w:rsidRPr="006432AE">
        <w:rPr>
          <w:rFonts w:ascii="Arial" w:eastAsia="Times New Roman" w:hAnsi="Arial" w:cs="Arial"/>
          <w:i/>
          <w:iCs/>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b.4) Khoản chi thực tế cho hoạt động phòng, chống HIV/AIDS nơi làm việc của doanh nghiệp, </w:t>
      </w:r>
      <w:r w:rsidRPr="006432AE">
        <w:rPr>
          <w:rFonts w:ascii="Arial" w:eastAsia="Times New Roman" w:hAnsi="Arial" w:cs="Arial"/>
          <w:b/>
          <w:bCs/>
          <w:color w:val="333333"/>
          <w:spacing w:val="-2"/>
          <w:sz w:val="20"/>
          <w:szCs w:val="20"/>
        </w:rPr>
        <w:t>bao gồm: chi phí đào tạo cán bộ phòng, chống HIV/AIDS của doanh nghiệp, chi phí tổ chức truyền thông phòng, chống HIV/AIDS cho người lao động của doanh nghiệp, phí thực hiện tư vấn, khám và xét nghiệm HIV, chi phí hỗ trợ người nhiễm HIV là người lao động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b.5) Khoản tài trợ cho giáo dục, y tế, văn hóa, phòng, chống, khắc phục hậu quả thiên tai, dịch bệnh, làm nhà đại đoàn kết, nhà tình nghĩa, nhà cho các đối tượng chính sách theo quy định của pháp luật; khoản tài trợ theo quy định của Chính phủ, Thủ tướng Chính phủ dành cho các địa phương thuộc địa bàn có điều kiện kinh tế - xã hội đặc biệt khó khăn; khoản tài trợ cho nghiên cứu khoa học, phát triển công nghệ và đổi mới sáng tạo, chuyển đổi số.</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Khoản tài trợ cho giáo dục quy định tại tiết này gồm: tài trợ cho các trường học công lập, dân lập và tư thục thuộc hệ thống giáo dục quốc dân theo quy định của pháp luật về giáo dục mà khoản tài trợ này không phải là để góp vốn, mua cổ phần trong các trường học; tài trợ cơ sở vật chất phục vụ giảng dạy, học tập và hoạt động của trường học; tài trợ cho các hoạt động thường xuyên của trường; tài trợ học bổng cho học sinh, sinh viên thuộc các cơ sở giáo dục phổ thông, cơ sở giáo dục nghề nghiệp và cơ sở sở giáo dục đại học được quy định tại Luật Giáo dục (tài trợ trực tiếp cho học sinh, sinh viên hoặc thông qua các cơ sở giáo dục, thông qua các cơ quan, tổ chức có chức năng huy động tài trợ theo quy định của pháp luật); tài trợ cho các cuộc thi về các môn học được giảng dạy trong trường học mà đối tượng tham gia dự thi là người học; tài trợ để thành lập các Quỹ khuyến học giáo dục theo quy định của pháp luật về giáo dục đào tạo.</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Khoản tài trợ cho y tế quy định tại tiết này gồm: tài trợ cho các cơ sở y tế được thành lập theo quy định pháp luật về</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y tế mà khoản tài trợ này không phải là để góp vốn, mua cổ phần trong các cơ sở y tế đó; tài trợ thiết bị y tế, dụng cụ y tế, thuốc chữa bệnh; tài trợ cho các hoạt động thường xuyên của bệnh viện, trung tâm y tế; tài trợ bằng tiền cho người bệnh thông qua một cơ quan, tổ chức có chức năng huy động tài trợ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FF0000"/>
          <w:sz w:val="20"/>
          <w:szCs w:val="20"/>
        </w:rPr>
        <w:lastRenderedPageBreak/>
        <w:t>- Khoản tài trợ cho văn hóa quy định tại tiết này gồm: tài trợ cho các cơ sở văn hóa được thành lập theo quy định pháp luật về</w:t>
      </w:r>
      <w:r w:rsidRPr="006432AE">
        <w:rPr>
          <w:rFonts w:ascii="Arial" w:eastAsia="Times New Roman" w:hAnsi="Arial" w:cs="Arial"/>
          <w:color w:val="333333"/>
          <w:sz w:val="20"/>
          <w:szCs w:val="20"/>
        </w:rPr>
        <w:t> </w:t>
      </w:r>
      <w:r w:rsidRPr="006432AE">
        <w:rPr>
          <w:rFonts w:ascii="Arial" w:eastAsia="Times New Roman" w:hAnsi="Arial" w:cs="Arial"/>
          <w:b/>
          <w:bCs/>
          <w:color w:val="FF0000"/>
          <w:sz w:val="20"/>
          <w:szCs w:val="20"/>
        </w:rPr>
        <w:t>văn hóa mà khoản tài trợ này không phải là để góp vốn, mua cổ phần trong các cơ sở văn hóa đó; tài trợ trực tiếp cho các hoạt động thường xuyên của cơ sở văn hóa; tài trợ bằng tiền thông qua một cơ quan, tổ chức có chức năng huy động tài trợ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Khoản tài trợ cho phòng, chống, khắc phục hậu quả thiên tai, dịch bệnh quy định tại tiết này gồm: tài trợ bằng tiền hoặc hiện vật để phòng, chống, khắc phục hậu quả thiên tai, dịch bệnh trực tiếp cho tổ chức được thành lập và hoạt động theo quy định của pháp luật; tài trợ cho cá nhân bị thiệt hại thông qua một cơ quan, tổ chức có chức năng huy động tài trợ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Khoản tài trợ làm nhà đại đoàn kết, nhà tình nghĩa, nhà cho các đối tượng chính sách xã hội quy định tại điểm này theo quy định của Thủ tướng Chính phủ dưới các hình thức: tài trợ bằng tiền hoặc hiện vật để xây nhà cho hộ nghèo bằng cách trực tiếp hoặc thông qua một cơ quan, tổ chức có chức năng huy động tài trợ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Đối tượng chính sách xã hội quy định tại khoản này bao gồm: Người có công theo quy định của pháp luật về người có công; đối tượng bảo trợ xã hội hưởng trợ cấp từ ngân sách nhà nước; người thuộc hộ nghèo, cận nghèo và các trường hợp khác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Khoản tài trợ theo quy định của Chính phủ, Thủ tướng Chính phủ dành cho các địa phương thuộc địa bàn có điều kiện kinh tế - xã hội đặc biệt khó khăn</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là chương trình được Chính phủ, Thủ tướng Chính phủ quy định thực hiện ở các địa phương thuộc địa bàn có điều kiện kinh tế xã hội đặc biệt khó khăn (bao gồm cả khoản tài trợ của doanh nghiệp cho việc xây dựng cầu mới dân sinh ở địa bàn kinh tế xã hội đặc biệt khó khăn theo Đề án được cấp có thẩm quyền phê duyệt).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Khoản tài trợ cho nghiên cứu khoa học, phát triển công nghệ và đổi mới sáng tạo, chuyển đổi số</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cho các tổ chức, cá nhân, bao gồm: Quỹ phát triển khoa học và công nghệ quốc gia, Quỹ phát triển khoa học và công nghệ của bộ, cơ quan ngang bộ, cơ quan thuộc Chính phủ, tỉnh, thành phố trực thuộc trung ương; các tổ chức khoa học và công nghệ được thành lập theo quy định của pháp luật; chuyên gia, nhà khoa học, cá nhân thực hiện nhiệm vụ nghiên cứu khoa học, phát triển công nghệ và đổi mới sáng tạo, chuyển đổi số theo quy định của pháp luật về khoa học, công nghệ và đổi mới sáng tạo; tổ chức có chức năng huy động tài trợ cho nghiên cứu khoa học, phát triển công nghệ và đổi mới sáng tạo, chuyển đổi số được thành lập, hoạt động theo quy định của pháp luật.</w:t>
      </w:r>
    </w:p>
    <w:p w:rsidR="006432AE" w:rsidRPr="006432AE" w:rsidRDefault="006432AE" w:rsidP="006432AE">
      <w:pPr>
        <w:shd w:val="clear" w:color="auto" w:fill="FFFFFF"/>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Bên nhận tài trợ có trách nhiệm sử dụng, phân phối đúng mục đích của các khoản tài trợ. Trường hợp sử dụng sai mục đích của các khoản tài trợ sẽ bị xử lý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b.6) Khoản chi cho nghiên cứu khoa học, phát triển công nghệ và đổi mới sáng tạo và chuyển đổi số</w:t>
      </w:r>
      <w:r w:rsidRPr="006432AE">
        <w:rPr>
          <w:rFonts w:ascii="Arial" w:eastAsia="Times New Roman" w:hAnsi="Arial" w:cs="Arial"/>
          <w:b/>
          <w:bCs/>
          <w:i/>
          <w:iCs/>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Đối với khoản chi phí phát sinh trong kỳ tính thuế liên quan đến hoạt động nghiên cứu và phát triển của doanh nghiệp được phép tính vào chi phí được trừ tối đa không quá 200% tính trên chi phí thực tế cho hoạt động này phát sinh trong kỳ tính thuế tại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Việc xác định khoản chi cho nghiên cứu khoa học, phát triển công nghệ, đổi mới sáng tạo, chuyển đổi số và khoản chi phí thực tế phát sinh trong kỳ tính thuế liên quan đến hoạt động nghiên cứu và phát triển quy định tại tiểu này thực hiện theo quy định của pháp luật về khoa học công nghệ và đổi mới sáng tạo, chuyển đổi số.</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b.7) Phần giá trị tổn thất do thiên tai, dịch bệnh và trường hợp bất khả kháng khác không được bồi thường.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Phần giá trị tổn thất do thiên tai, dịch bệnh và trường hợp bất khả kháng khác không được bồi thường được xác định bằng tổng giá trị tổn thất trừ (-) phần giá trị doanh nghiệp bảo hiểm hoặc tổ chức, cá nhân khác phải bồi thường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b.8) Khoản chi thực tế cho người được biệt phái tham gia quản trị, điều hành, kiểm soát tổ chức tín dụng được kiểm soát đặc biệt, ngân hàng thương mại được chuyển giao bắt buộc theo quy định của Luật Các tổ chức tín dụng.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b.9) Một số khoản chi phục vụ sản xuất kinh doanh của doanh nghiệp nhưng chưa tương ứng với doanh thu phát sinh trong kỳ, bao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đấu thầu: Chi phí cần thiết và bắt buộc phải bỏ ra cho hoạt động tham gia đấu thầu và tìm kiếm đơn hàng (liên quan đến hoạt động sản xuất, kinh doanh).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nghiên cứu thị trường, nghiên cứu sản phẩm, chuẩn bị cho việc sản xuất sản phẩm mới, chi phí đầu tư cho dự án phát triển sản phẩm mới nhưng không thành công.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pacing w:val="-2"/>
          <w:sz w:val="20"/>
          <w:szCs w:val="20"/>
        </w:rPr>
        <w:t>Doanh nghiệp được tính vào chi phí được trừ khi tính thuế thu nhập doanh nghiệp đối với các khoản chi phí trên khi có đầy đủ bản báo cáo nghiên cứu về phát triển thị trường, phát triển về sản phẩm mới gửi các cơ quan quản lý nhà nước có liên quan theo quy định của pháp luật chuyên ngành.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tiền thuê đất và chi phí quản lý, duy trì cơ sở hạ tầng trả cho các doanh nghiệp kinh doanh cơ sở hạ tầng trong các khu, trong đó đất và cơ sở hạ tầng này phải là địa điểm, trụ sở sản xuất, kinh doanh của doanh nghiệp kể cả trường hợp chưa tham gia vào hoạt động sản xuất, kinh doanh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khấu hao tài sản cho thuê trong thời gian chưa có khách thuê.</w:t>
      </w:r>
    </w:p>
    <w:p w:rsidR="006432AE" w:rsidRPr="006432AE" w:rsidRDefault="006432AE" w:rsidP="006432AE">
      <w:pPr>
        <w:shd w:val="clear" w:color="auto" w:fill="FFFFFF"/>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doanh nghiệp hoạt động trong lĩnh vực cho thuê tài sản nhưng chưa có khách thuê, không có doanh thu từ cho thuê</w:t>
      </w:r>
      <w:r w:rsidRPr="006432AE">
        <w:rPr>
          <w:rFonts w:ascii="Arial" w:eastAsia="Times New Roman" w:hAnsi="Arial" w:cs="Arial"/>
          <w:b/>
          <w:bCs/>
          <w:color w:val="333333"/>
          <w:sz w:val="20"/>
          <w:szCs w:val="20"/>
          <w:shd w:val="clear" w:color="auto" w:fill="FFFFFF"/>
        </w:rPr>
        <w:t>; sau đó tài sản cố định tham gia vào hoạt động sản xuất, kinh doanh và phát sinh doanh thu, nếu tài sản cố định nêu trên thuộc quyền sử hữu hợp pháp của doanh nghiệp và được quản lý, theo dõi hạch toán theo quy định về quản lý tài sản cố định</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shd w:val="clear" w:color="auto" w:fill="FFFFFF"/>
        </w:rPr>
        <w:t>thì doanh nghiệp được tính vào chi phí được trừ khi tính thuế thu nhập doanh nghiệp đối với khoản chi phí khấu hao tài sản cố định trong thời gian chưa có khách thuê.</w:t>
      </w:r>
    </w:p>
    <w:p w:rsidR="006432AE" w:rsidRPr="006432AE" w:rsidRDefault="006432AE" w:rsidP="006432AE">
      <w:pPr>
        <w:shd w:val="clear" w:color="auto" w:fill="FFFFFF"/>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shd w:val="clear" w:color="auto" w:fill="FFFFFF"/>
        </w:rPr>
        <w:t>Doanh nghiệp phải lưu giữ và cung cấp đầy đủ hồ sơ chứng minh quyền sở hữu hợp pháp tài sản và hồ sơ, sổ sách về quản lý và theo dõi hạch toán theo quy định</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shd w:val="clear" w:color="auto" w:fill="FFFFFF"/>
        </w:rPr>
        <w:t>khi cơ quan thuế yêu cầu.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khôi phục, đóng cửa doanh nghiệp hoặc chi nhánh, đơn vị phụ thuộc, địa điểm kinh doanh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giới thiệu/marketing sản phẩm mới trước khi bán hàng. Sản phẩm mới phải có đầy đủ hồ sơ về chủ trương đầu tư sản xuất sản phẩm mới gửi cơ quan quản lý nhà nước có liên quan theo quy định của pháp luật chuyên ngành.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vắt năm do áp dụng kỳ lương, kỳ chi phí vắt tháng.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doanh nghiệp có phát sinh các khoản chi như: chi tiền lương, tiền công và các khoản phụ cấp phải trả cho người lao động nhưng hết thời hạn nộp hồ sơ quyết toán thuế năm thực tế chưa chi (không thuộc trường hợp doanh nghiệp có trích lập quỹ dự phòng để bổ sung vào quỹ tiền lương của năm sau liền kề)</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thì các khoản chi này thuộc các khoản chi không được trừ đi khi xác định thu nhập chịu thuế thu nhập doanh nghiệp trong kỳ tính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hủy hàng tồn kho hư hỏng, hàng hết hạn sử dụng, hàng không còn giá trị sử dụng; chi phí phế phẩm phát sinh trong quá trình gia công, sản xuất.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hủy, thanh lý tài sản cố định do hư hỏng, không còn nhu cầu sản xuất.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Doanh nghiệp phát sinh khoản chi phí liên quan đến thanh lý các máy móc thiết bị, nguyên vật liệu và tiêu hủy nguyên vật liệu do chuyển dịch cơ cấu sản xuất sản phẩm, dừng dây chuyền sản xuất sản phẩm thì các khoản chi liên quan đến thanh lý các máy móc thiết bị, nguyên vật liệu và tiêu hủy nguyên vật liệu phải có đầy đủ hồ sơ và hóa đơn, chứng từ theo quy định thì được tính vào chi phí được trừ khi tính thuế thu nhập doanh nghiệp.</w:t>
      </w:r>
    </w:p>
    <w:p w:rsidR="006432AE" w:rsidRPr="006432AE" w:rsidRDefault="006432AE" w:rsidP="006432AE">
      <w:pPr>
        <w:shd w:val="clear" w:color="auto" w:fill="FFFFFF"/>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Đối với việc tiêu hủy nguyên vật liệu: nếu doanh nghiệp đã trích lập dự phòng đối với nguyên vật liệu tiêu hủy thì sau khi bù đắp bằng nguồn dự phòng giảm giá hàng tồn kho đối với nguyên vật liệu đó, phần chênh lệch thiếu được hạch toán vào giá vốn hàng bán của doanh nghiệp nếu đáp ứng điều kiện về khoản chi được trừ khi tính thuế thu nhập doanh nghiệp theo quy định</w:t>
      </w:r>
      <w:r w:rsidRPr="006432AE">
        <w:rPr>
          <w:rFonts w:ascii="Arial" w:eastAsia="Times New Roman" w:hAnsi="Arial" w:cs="Arial"/>
          <w:b/>
          <w:bCs/>
          <w:i/>
          <w:iCs/>
          <w:color w:val="333333"/>
          <w:sz w:val="20"/>
          <w:szCs w:val="20"/>
        </w:rPr>
        <w: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b.10) Khoản chi hỗ trợ xây dựng công trình công cộng đồng thời phục vụ hoạt động sản xuất, kinh doanh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Công trình phục vụ công cộng, cơ sở hạ tầng là công trình không phục vụ mục đích kinh doanh, không thu tiền. Công trình quy định tại tiểu này được thực hiện theo quy định tại điểm 2 Mục I và Mục III Phụ lục I ban hành kèm theo Nghị định số 06/2021/NĐ-CP ngày 26 tháng 01 năm 2021 của Chính phủ quy định chi tiết một số nội dung về quản lý chất lượng, thi công xây dựng và bảo trì công trình xây dựng.</w:t>
      </w:r>
    </w:p>
    <w:p w:rsidR="006432AE" w:rsidRPr="006432AE" w:rsidRDefault="006432AE" w:rsidP="006432AE">
      <w:pPr>
        <w:spacing w:before="100" w:before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b.11) Chi phí liên quan đến việc giảm phát thải khí nhà kính nhằm trung hoà các - bon và net zero, giảm ô nhiễm môi trường, đồng thời liên quan đến hoạt động sản xuất, kinh doanh của doanh nghiệp.</w:t>
      </w:r>
    </w:p>
    <w:p w:rsidR="006432AE" w:rsidRPr="006432AE" w:rsidRDefault="006432AE" w:rsidP="006432AE">
      <w:pPr>
        <w:spacing w:before="100" w:before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b.12) Khoản đóng góp vào các Quỹ được thành lập theo quyết định của Thủ tướng Chính phủ và quy định của Chính phủ, bao gồm: </w:t>
      </w:r>
      <w:r w:rsidRPr="006432AE">
        <w:rPr>
          <w:rFonts w:ascii="Arial" w:eastAsia="Times New Roman" w:hAnsi="Arial" w:cs="Arial"/>
          <w:b/>
          <w:bCs/>
          <w:color w:val="333333"/>
          <w:sz w:val="20"/>
          <w:szCs w:val="20"/>
        </w:rPr>
        <w:t>Quỹ viễn thông công ích, Quỹ phòng, chống tác hại thuốc lá, Quỹ bảo vệ môi trường Việt Nam, Quỹ Hỗ trợ sắp xếp và phát triển doanh nghiệp và các Quỹ đặc thù khác. Bộ Tài chính chủ trì phối hợp với các cơ quan liên quan trình Chính phủ hoặc Thủ tướng Chính phủ đối với khoản đóng góp vào các Quỹ đặc thù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Khoản chi có đủ hoá đơn, chứng từ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Đối với các trường hợp: mua sản phẩm là nông, lâm, thủy sản của người sản xuất, đánh bắt trực tiếp bán ra; mua sản phẩm thủ công làm bằng đay, cói, tre, nứa, lá, song, mây, rơm, vỏ dừa, sọ dừa hoặc nguyên liệu tận dụng từ sản phẩm nông nghiệp của người sản xuất thủ công trực tiếp bán ra; mua phế liệu của người trực tiếp thu nhặt, mua đồ dùng, tài sản, của hộ gia đình, cá nhân trực tiếp bán ra và dịch vụ mua của hộ gia đình, cá nhân không kinh doanh phải có chứng từ chi trả tiền cho người bán và Bảng kê thu mua hàng hóa, dịch vụ do người đại diện theo pháp luật hoặc người được ủy quyền của doanh nghiệp kinh doanh ký và chịu trách nhiệm.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 Đối với hoá đơn mua hàng hoá, dịch vụ từng lần có giá trị từ năm triệu đồng trở lên phải có chứng từ thanh toán không dùng tiền mặt.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pacing w:val="-2"/>
          <w:sz w:val="20"/>
          <w:szCs w:val="20"/>
        </w:rPr>
        <w:t>2. Các khoản chi không được trừ khi xác định thu nhập chịu thuế thực hiện theo quy định tại khoản 2 Điều 9 Luật thuế thu nhập doanh nghiệp (sửa đổi).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 Các khoản chi không đáp ứng đủ các điều kiện quy định tại khoản 1 Điều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2.2. Các khoản tiền phạt về vi phạm hành chính bao gồm: vi phạm luật giao thông, vi phạm chế độ đăng ký kinh doanh, vi phạm chế độ kế toán thống kê, vi phạm pháp luật về thuế bao gồm cả tiền chậm nộp thuế theo quy định của Luật Quản lý thuế và các khoản phạt về vi phạm hành chính khác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2.3. Các khoản chi được bù đắp bằng nguồn kinh phí khác; khoản chi đã được chi từ Quỹ phát triển khoa học và công nghệ của doanh nghiệp.</w:t>
      </w:r>
    </w:p>
    <w:p w:rsidR="006432AE" w:rsidRPr="006432AE" w:rsidRDefault="006432AE" w:rsidP="006432AE">
      <w:pPr>
        <w:spacing w:before="0"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2.4. Phần chi vượt mức quy định đối với các khoản chi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Phần chi phí quản lý kinh doanh do doanh nghiệp nước ngoài phân bổ cho cơ sở thường trú tại Việt Nam vượt mức tính theo công thức sau:</w:t>
      </w:r>
    </w:p>
    <w:tbl>
      <w:tblPr>
        <w:tblW w:w="0" w:type="auto"/>
        <w:tblCellSpacing w:w="0" w:type="dxa"/>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1925"/>
        <w:gridCol w:w="978"/>
        <w:gridCol w:w="3511"/>
        <w:gridCol w:w="962"/>
        <w:gridCol w:w="1680"/>
      </w:tblGrid>
      <w:tr w:rsidR="006432AE" w:rsidRPr="006432AE" w:rsidTr="006432AE">
        <w:trPr>
          <w:tblCellSpacing w:w="0" w:type="dxa"/>
        </w:trPr>
        <w:tc>
          <w:tcPr>
            <w:tcW w:w="2175" w:type="dxa"/>
            <w:vMerge w:val="restart"/>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Chi phí quản lý kinh doanh, do công ty ở nước ngoài phân bổ cho cơ sở thường trú tại Việt </w:t>
            </w:r>
            <w:r w:rsidRPr="006432AE">
              <w:rPr>
                <w:rFonts w:ascii="Arial" w:eastAsia="Times New Roman" w:hAnsi="Arial" w:cs="Arial"/>
                <w:color w:val="333333"/>
                <w:sz w:val="20"/>
                <w:szCs w:val="20"/>
              </w:rPr>
              <w:lastRenderedPageBreak/>
              <w:t>Nam trong kỳ tính thuế</w:t>
            </w:r>
          </w:p>
        </w:tc>
        <w:tc>
          <w:tcPr>
            <w:tcW w:w="480" w:type="dxa"/>
            <w:vMerge w:val="restart"/>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  =</w:t>
            </w:r>
          </w:p>
        </w:tc>
        <w:tc>
          <w:tcPr>
            <w:tcW w:w="4140" w:type="dxa"/>
            <w:tcBorders>
              <w:top w:val="nil"/>
              <w:left w:val="nil"/>
              <w:bottom w:val="single" w:sz="8" w:space="0" w:color="auto"/>
              <w:right w:val="nil"/>
            </w:tcBorders>
            <w:shd w:val="clear" w:color="auto" w:fill="FFFFFF"/>
            <w:vAlign w:val="center"/>
            <w:hideMark/>
          </w:tcPr>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thu tính thuế của cơ sở thường trú tại Việt Nam trong kỳ tính thuế</w:t>
            </w:r>
          </w:p>
        </w:tc>
        <w:tc>
          <w:tcPr>
            <w:tcW w:w="450" w:type="dxa"/>
            <w:vMerge w:val="restart"/>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w:t>
            </w:r>
          </w:p>
        </w:tc>
        <w:tc>
          <w:tcPr>
            <w:tcW w:w="1815" w:type="dxa"/>
            <w:vMerge w:val="restart"/>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Tổng số chi phí quản lý kinh doanh của công ty ở nước </w:t>
            </w:r>
            <w:r w:rsidRPr="006432AE">
              <w:rPr>
                <w:rFonts w:ascii="Arial" w:eastAsia="Times New Roman" w:hAnsi="Arial" w:cs="Arial"/>
                <w:color w:val="333333"/>
                <w:sz w:val="20"/>
                <w:szCs w:val="20"/>
              </w:rPr>
              <w:lastRenderedPageBreak/>
              <w:t>ngoài trong kỳ tính thuế.</w:t>
            </w:r>
          </w:p>
        </w:tc>
      </w:tr>
      <w:tr w:rsidR="006432AE" w:rsidRPr="006432AE" w:rsidTr="006432AE">
        <w:trPr>
          <w:tblCellSpacing w:w="0" w:type="dxa"/>
        </w:trPr>
        <w:tc>
          <w:tcPr>
            <w:tcW w:w="0" w:type="auto"/>
            <w:vMerge/>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414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Tổng doanh thu của công ty ở nước ngoài, bao gồm cả doanh thu của </w:t>
            </w:r>
            <w:r w:rsidRPr="006432AE">
              <w:rPr>
                <w:rFonts w:ascii="Arial" w:eastAsia="Times New Roman" w:hAnsi="Arial" w:cs="Arial"/>
                <w:color w:val="333333"/>
                <w:sz w:val="20"/>
                <w:szCs w:val="20"/>
              </w:rPr>
              <w:lastRenderedPageBreak/>
              <w:t>các cơ sở thường trú ở các nước khác trong kỳ tính thuế</w:t>
            </w:r>
          </w:p>
        </w:tc>
        <w:tc>
          <w:tcPr>
            <w:tcW w:w="0" w:type="auto"/>
            <w:vMerge/>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shd w:val="clear" w:color="auto" w:fill="FFFFFF"/>
            <w:vAlign w:val="center"/>
            <w:hideMark/>
          </w:tcPr>
          <w:p w:rsidR="006432AE" w:rsidRPr="006432AE" w:rsidRDefault="006432AE" w:rsidP="006432AE">
            <w:pPr>
              <w:spacing w:before="0" w:after="0"/>
              <w:rPr>
                <w:rFonts w:ascii="Arial" w:eastAsia="Times New Roman" w:hAnsi="Arial" w:cs="Arial"/>
                <w:color w:val="333333"/>
                <w:sz w:val="20"/>
                <w:szCs w:val="20"/>
              </w:rPr>
            </w:pPr>
          </w:p>
        </w:tc>
      </w:tr>
    </w:tbl>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b) Phần chi phí liên quan đến việc thuê quản lý đối với hoạt động kinh doanh trò chơi điện tử có thưởng, kinh doanh casino vượt quá 4% doanh thu hoạt động kinh doanh trò chơi điện tử có thưởng, kinh doanh casino.</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Chi trả lãi tiền vay của doanh nghiệp có giao dịch liên kết theo quy định của Chính phủ về quản lý thuế đối với doanh nghiệp có giao dịch liên kết.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 Phần chi cho các khoản có tính chất phúc lợi trực tiếp cho người lao động vượt quá 01 tháng lương bình quân thực tế thực hiện trong năm tính thuế, bao gồm: chi đám hiếu, hỷ của bản thân và gia đình người lao động; chi nghỉ mát, chi hỗ trợ điều trị; chi hỗ trợ bổ sung kiến thức học tập tại cơ sở đào tạo; chi hỗ trợ gia đình người lao động bị ảnh hưởng bởi thiên tai, địch họa, tai nạn, ốm đau; chi khen thưởng con của người lao động có thành tích tốt trong học tập; chi hỗ trợ chi phí đi lại ngày lễ, tết cho người lao động; chi bảo hiểm tai nạn, bảo hiểm sức khỏe, bảo hiểm tự nguyện khác cho người lao động (trừ </w:t>
      </w:r>
      <w:r w:rsidRPr="006432AE">
        <w:rPr>
          <w:rFonts w:ascii="Arial" w:eastAsia="Times New Roman" w:hAnsi="Arial" w:cs="Arial"/>
          <w:b/>
          <w:bCs/>
          <w:color w:val="333333"/>
          <w:sz w:val="20"/>
          <w:szCs w:val="20"/>
        </w:rPr>
        <w:t>khoản đóng góp tham gia bảo hiểm hưu trí bổ sung theo quy định của Luật Bảo hiểm xã hội</w:t>
      </w:r>
      <w:r w:rsidRPr="006432AE">
        <w:rPr>
          <w:rFonts w:ascii="Arial" w:eastAsia="Times New Roman" w:hAnsi="Arial" w:cs="Arial"/>
          <w:color w:val="333333"/>
          <w:sz w:val="20"/>
          <w:szCs w:val="20"/>
        </w:rPr>
        <w:t>, khoản chi mua bảo hiểm nhân thọ cho người lao động, bảo hiểm hưu trí tự nguyện cho người lao động hướng dẫn tại tiết đ điểm này) và những khoản chi có tính chất phúc lợi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Việc xác định 01 tháng lương bình quân thực tế thực hiện trong năm tính thuế của doanh nghiệp được xác định bằng quỹ tiền lương thực hiện trong năm chia (:) 12 tháng. Trường hợp doanh nghiệp hoạt động không đủ 12 tháng thì việc xác định 01 tháng lương bình quân thực tế thực hiện trong năm tính thuế được xác định bằng quỹ tiền lương thực hiện trong năm chia (:) số tháng thực tế hoạt động trong năm.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Quỹ tiền lương thực hiện là tổng số tiền lương thực tế đã chi trả của năm quyết toán đó đến thời hạn cuối cùng nộp hồ sơ quyết toán theo quy định (không bao gồm số tiền trích lập quỹ dự phòng tiền lương của năm trước chi trong năm quyết toán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 Phần chi vượt mức 03 triệu đồng/tháng/người để: đóng góp tham gia bảo hiểm hưu trí bổ sung theo Luật Bảo hiểm xã hội hoặc quỹ có tính chất an sinh xã hội, mua bảo hiểm hưu trí tự nguyện, bảo hiểm nhân thọ cho người lao động; Phần vượt mức quy định của pháp luật về bảo hiểm xã hội, về bảo hiểm y tế để trích nộp các quỹ có tính chất an sinh xã hội (bảo hiểm xã hội, bảo hiểm hưu trí bổ sung bắt buộc), quỹ bảo hiểm y tế và quỹ bảo hiểm thất nghiệp cho người lao động.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Khoản tham gia bảo hiểm hưu trí bổ sung theo Luật Bảo hiểm xã hội hoặc quỹ có tính chất an sinh xã hội, mua bảo hiểm hưu trí tự nguyện, bảo hiểm nhân thọ cho người lao động được tính vào chi phí được trừ ngoài việc không vượt mức quy định tại điểm này còn phải được ghi cụ thể Điều kiện hưởng và mức hưởng tại một trong các hồ sơ sau: Hợp đồng lao động; Thỏa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nghiệp không được tính vào chi phí đối với các khoản chi tham gia bảo hiểm hưu trí bổ sung theo Luật Bảo hiểm xã hội hoặc quỹ có tính chất an sinh xã hội, mua bảo hiểm hưu trí tự nguyện, bảo hiểm nhân thọ cho người lao động nếu doanh nghiệp không thực hiện đầy đủ các nghĩa vụ về bảo hiểm bắt buộc cho người lao động (kể cả trường hợp nợ tiền bảo hiểm bắt buộc).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2.5. Trích lập và sử dụng các khoản dự phòng không theo đúng hướng dẫn của Bộ Tài chính về trích lập dự phòng: dự phòng giảm giá hàng tồn kho, dự phòng tổn thất các khoản đầu tư tài chính, dự phòng nợ phải thu khó đòi, dự phòng bảo hành sản phẩm, hàng hoá, công trình xây lắp và dự phòng rủi ro nghề nghiệp của doanh nghiệp thẩm định giá, doanh nghiệp cung cấp dịch vụ kiểm toán độc lập.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2.6. Chi khấu hao tài sản cố định thuộc một trong các trường hợp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Chi khấu hao đối với tài sản cố định không sử dụng cho hoạt động sản xuất, kinh doanh hàng hóa, dịch vụ.</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Riêng tài sản cố định phục vụ cho người lao động làm việc tại doanh nghiệp như: nhà nghỉ giữa ca, nhà ăn giữa ca, nhà thay quần áo, nhà vệ sinh, phòng hoặc trạm y tế để khám, chữa bệnh, cơ sở đào tạo, dạy nghề, thư viện, nhà trẻ, khu thể thao và các thiết bị, nội thất đủ điều kiện là tài sản cố định lắp đặt trong các công trình nêu trên; bể chứa nước sạch, nhà để xe; xe đưa đón người lao động, </w:t>
      </w:r>
      <w:r w:rsidRPr="006432AE">
        <w:rPr>
          <w:rFonts w:ascii="Arial" w:eastAsia="Times New Roman" w:hAnsi="Arial" w:cs="Arial"/>
          <w:color w:val="333333"/>
          <w:sz w:val="20"/>
          <w:szCs w:val="20"/>
        </w:rPr>
        <w:lastRenderedPageBreak/>
        <w:t>nhà ở trực tiếp cho người lao động; chi phí xây dựng cơ sở vật chất, chi phí mua sắm máy móc, thiết bị là tài sản cố định dùng để tổ chức hoạt động giáo dục nghề nghiệp được trích khấu hao tính vào chi phí được trừ khi xác định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Chi khấu hao đối với tài sản cố định không có giấy tờ chứng minh thuộc quyền sở hữu của doanh nghiệp (trừ tài sản cố định thuê mua tài chính).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Chi khấu hao đối với tài sản cố định không được quản lý, theo dõi, hạch toán trong sổ sách kế toán của doanh nghiệp theo chế độ quản lý tài sản cố định và hạch toán kế toán hiện hành.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 Phần trích khấu hao vượt mức quy định hiện hành của Bộ Tài chính về chế độ quản lý, sử dụng và trích khấu hao tài sản cố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nghiệp thực hiện thông báo phương pháp trích khấu hao tài sản cố định mà doanh nghiệp lựa chọn áp dụng với cơ quan thuế trực tiếp quản lý trước khi thực hiện trích khấu hao (ví dụ: thông báo lựa chọn thực hiện phương pháp khấu hao đường thẳng...). Hàng năm doanh nghiệp trích khấu hao tài sản cố định theo quy định hiện hành của Bộ Tài chính về chế độ quản lý, sử dụng và trích khấu hao tài sản cố định kể cả trường hợp khấu hao nhanh (nếu đáp ứng điều kiện).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nghiệp hoạt động có hiệu quả kinh tế cao được trích khấu hao nhanh nhưng tối đa không quá 2 lần mức khấu hao xác định theo phương pháp đường thẳng để nhanh chóng đổi mới công nghệ đối với một số tài sản cố định theo quy định hiện hành của Bộ Tài chính về chế độ quản lý, sử dụng và trích khấu hao tài sản cố định. Khi thực hiện trích khấu hao nhanh, doanh nghiệp phải đảm bảo kinh doanh có lãi.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Tài sản cố định góp vốn, tài sản cố định điều chuyển khi chia, tách, hợp nhất, sáp nhập, chuyển đổi loại hình có đánh giá lại theo quy định thì doanh nghiệp nhận tài sản cố định này được tính khấu hao vào chi phí được trừ theo </w:t>
      </w:r>
      <w:r w:rsidRPr="006432AE">
        <w:rPr>
          <w:rFonts w:ascii="Arial" w:eastAsia="Times New Roman" w:hAnsi="Arial" w:cs="Arial"/>
          <w:b/>
          <w:bCs/>
          <w:color w:val="333333"/>
          <w:sz w:val="20"/>
          <w:szCs w:val="20"/>
        </w:rPr>
        <w:t>giá trị đánh giá lại.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Đối với loại tài sản khác không đủ tiêu chuẩn là tài sản cố định có góp vốn, điều chuyển khi chia, tách, hợp nhất, sáp nhập, chuyển đổi loại hình và tài sản này có đánh giá lại theo quy định thì doanh nghiệp nhận tài sản này được tính vào chi phí hoặc phân bổ dần vào chi phí được trừ theo </w:t>
      </w:r>
      <w:r w:rsidRPr="006432AE">
        <w:rPr>
          <w:rFonts w:ascii="Arial" w:eastAsia="Times New Roman" w:hAnsi="Arial" w:cs="Arial"/>
          <w:b/>
          <w:bCs/>
          <w:color w:val="333333"/>
          <w:sz w:val="20"/>
          <w:szCs w:val="20"/>
        </w:rPr>
        <w:t>giá trị đánh giá lại.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Đối với tài sản cố định tự làm nguyên giá tài sản cố định được trích khấu hao tính vào chi phí được trừ là tổng các chi phí sản xuất để hình thành nên tài sản đó.</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Đối với tài sản là công cụ, dụng cụ, bao bì luân chuyển,... không đáp ứng đủ điều kiện xác định là tài sản cố định theo quy định thì chi phí mua tài sản nêu trên được phân bổ dần vào chi phí hoạt động sản xuất kinh doanh trong kỳ nhưng tối đa không quá 3 năm.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 Khấu hao đối với tài sản cố định đã khấu hao hết giá trị.</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 Một số trường hợp cụ thể được xác định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e.1) Không được tính vào chi phí được trừ khi xác định thu nhập chịu thuế: Phần trích khấu hao tương ứng với nguyên giá vượt trên 1,6 tỷ đồng/xe đối với ô tô chở người từ 9 chỗ ngồi trở xuống (trừ: ô tô dùng cho kinh doanh vận tải hành khách, kinh doanh du lịch, khách sạn; ô tô dùng để làm mẫu và lái thử cho kinh doanh ô tô); phần trích khấu hao đối với tài sản cố định là máy bay, trực thăng, tàu lượn, du thuyền không sử dụng kinh doanh vận chuyển hàng hóa, hành khách, kinh doanh du lịch, khách sạn.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Ô tô chở người từ 9 chỗ ngồi trở xuống chuyên kinh doanh vận tải hành khách, du lịch và khách sạn là các ô tô được đăng ký tên doanh nghiệp mà doanh nghiệp này trong Giấy chứng nhận đăng ký doanh nghiệp hoặc Giấy chứng nhận đăng ký kinh doanh có đăng ký một trong các ngành nghề: vận tải hành khách, kinh doanh du lịch, khách sạn và được cấp phép kinh doanh theo quy định tại các văn bản pháp luật về kinh doanh vận tải, hành khách, du lịch, khách sạn.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 Máy bay, trực thăng, tàu lượn, du thuyền không sử dụng cho mục đích kinh doanh vận chuyển hàng hoá, hành khách, khách du lịch là máy bay, trực thăng, tàu lượn, du thuyền của các doanh nghiệp đăng ký và hạch toán trích khấu hao tài sản cố định nhưng trong Giấy chứng nhận đăng ký kinh doanh </w:t>
      </w:r>
      <w:r w:rsidRPr="006432AE">
        <w:rPr>
          <w:rFonts w:ascii="Arial" w:eastAsia="Times New Roman" w:hAnsi="Arial" w:cs="Arial"/>
          <w:color w:val="333333"/>
          <w:sz w:val="20"/>
          <w:szCs w:val="20"/>
        </w:rPr>
        <w:lastRenderedPageBreak/>
        <w:t>hoặc Giấy chứng nhận đăng ký doanh nghiệp của doanh nghiệp không đăng ký ngành nghề vận tải hàng hoá, vận tải hành khách, kinh doanh du lịch, khách sạn.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có chuyển nhượng, thanh lý xe ô tô chở người từ 9 chỗ ngồi trở xuống thì giá trị còn lại của xe được xác định bằng nguyên giá thực mua tài sản cố định trừ (-) số khấu hao lũy kế của tài sản cố định theo chế độ quản lý sử dụng và trích khấu hao tài sản cố định tính đến thời điểm chuyển nhượng, thanh lý xe.</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e.2) Khấu hao đối với công trình trên đất vừa sử dụng cho sản xuất kinh doanh vừa sử dụng cho mục đích khác thì không được tính khấu hao vào chi phí được trừ đối với giá trị công trình trên đất tương ứng phần diện tích không sử dụng vào hoạt động sản xuất kinh doanh.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có công trình trên đất như trụ sở văn phòng, nhà xưởng, cửa hàng phục vụ cho hoạt động sản xuất kinh doanh của doanh nghiệp thì doanh nghiệp được trích khấu hao tính vào chi phí được trừ khi xác định thu nhập chịu thuế theo đúng mức trích khấu hao và thời gian sử dụng tài sản cố định quy định hiện hành của Bộ Tài chính đối với các công trình này nếu đáp ứng các điều kiện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Có giấy chứng nhận quyền sử dụng đất mang tên doanh nghiệp (trong trường hợp đất thuộc quyền sở hữu của doanh nghiệp) hoặc có hợp đồng thuê đất, mượn đất giữa doanh nghiệp với đơn vị, cá nhân có đất và đại diện doanh nghiệp phải chịu trách nhiệm trước pháp luật về tính chính xác của hợp đồng (trong trường hợp đất đi thuê hoặc đi mượn).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Hóa đơn thanh toán khối lượng công trình xây dựng bàn giao kèm theo hợp đồng xây dựng công trình, thanh lý hợp đồng, quyết toán giá trị công trình xây dựng mang tên, địa chỉ và mã số thuế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Công trình trên đất được quản lý, theo dõi hạch toán theo quy định hiện hành về quản lý tài sản cố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e.3) Trường hợp tài sản cố định thuộc quyền sở hữu của doanh nghiệp đang dùng cho sản xuất kinh doanh nhưng phải tạm thời dừng do sản xuất theo mùa vụ với thời gian dưới 09 tháng; tạm thời dừng để sửa chữa, để di dời di chuyển địa điểm, để bảo trì, bảo dưỡng theo định kỳ, với thời gian dưới 12 tháng, sau đó tài sản cố định tiếp tục đưa vào phục vụ cho hoạt động sản xuất kinh doanh thì trong khoảng thời gian tạm dừng đó, doanh nghiệp được trích khấu hao và khoản chi phí khấu hao tài sản cố định trong thời gian tạm dừng được tính vào chi phí được trừ khi xác định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nghiệp phải lưu giữ và cung cấp đầy đủ hồ sơ, lý do của việc tạm dừng tài sản cố định khi cơ quan thuế yêu cầu.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e.4) Quyền sử dụng đất lâu dài không được trích khấu hao và phân bổ vào chi phí được trừ khi xác định thu nhập chịu thuế; Quyền sử dụng đất có thời hạn nếu có đầy đủ hóa đơn chứng từ và thực hiện đúng các thủ tục theo quy định của pháp luật, có tham gia vào hoạt động sản xuất kinh doanh thì được phân bổ dần vào chi phí được trừ theo thời hạn được phép sử dụng đất ghi trong giấy chứng nhận quyền sử dụng đất (bao gồm cả trường hợp dừng hoạt động để sửa chữa, đầu tư xây dựng mới).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mua tài sản cố định hữu hình là nhà cửa, vật kiến trúc gắn liền với quyền sử dụng đất lâu dài thì giá trị quyền sử dụng đất phải xác định riêng và ghi nhận là tài sản cố định vô hình; Tài sản cố định hữu hình là nhà cửa, vật kiến trúc thì nguyên giá là giá mua thực tế phải trả cộng (+) các khoản chi phí liên quan trực tiếp đến việc đưa tài sản cố định hữu hình vào sử dụng. Giá trị quyền sử dụng đất được xác định theo giá ghi trên hợp đồng mua bất động sản (tài sản) phù hợp với giá thị trường nhưng không được thấp hơn giá đất tại bảng giá đất do Ủy ban nhân dân tỉnh, thành phố trực thuộc trung ương quy định tại thời điểm mua tài sản. Trường hợp doanh nghiệp mua tài sản cố định hữu hình là nhà cửa, vật kiến trúc gắn liền với quyền sử dụng đất lâu dài không tách riêng được giá trị quyền sử dụng đất thì giá trị quyền sử dụng được xác định theo giá do Ủy ban nhân dân tỉnh, thành phố trực thuộc trung ương quy định tại thời điểm mua tài sản.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có chuyển nhượng một phần vốn hoặc chuyển nhượng toàn bộ doanh nghiệp khác theo quy định của pháp luật, nếu có chuyển giao tài sản thì doanh nghiệp nhận chuyển nhượng chỉ được trích khấu hao tài sản cố định vào chi phí được trừ đối với các tài sản chuyển giao đủ điều kiện trích khấu hao theo giá trị còn lại trên sổ sách kế toán tại doanh nghiệp chuyển nhượng.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2.7. Các khoản chi phí trích trước theo kỳ hạn, theo chu kỳ mà đến hết kỳ hạn, hết chu kỳ chưa chi hoặc chi không hết.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Các khoản trích trước bao gồm: trích trước về sửa chữa lớn tài sản cố định theo chu kỳ, các khoản trích trước đối với hoạt động đã tính doanh thu nhưng còn tiếp tục phải thực hiện nghĩa vụ theo hợp đồng (kể cả trường hợp doanh nghiệp có hoạt động cho thuê tài sản, hoạt động kinh doanh dịch vụ trong nhiều năm nhưng có thu tiền trước của khách hàng và đã tính toàn bộ vào doanh thu của năm thu tiền) và các khoản trích trước khác.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có hoạt động sản xuất kinh doanh đã ghi nhận doanh thu tính thuế thu nhập doanh nghiệp nhưng chưa phát sinh đầy đủ chi phí thì được trích trước các khoản chi phí theo quy định vào chi phí được trừ tương ứng với doanh thu đã ghi nhận khi xác định thu nhập chịu thuế thu nhập doanh nghiệp. Khi kết thúc hợp đồng, doanh nghiệp phải tính toán xác định chính xác số chi phí thực tế căn cứ các hoá đơn, chứng từ hợp pháp thực tế đã phát sinh để điều chỉnh tăng chi phí (trường hợp chi phí thực tế phát sinh lớn hơn số đã trích trước) hoặc giảm chi phí (trường hợp chi phí thực tế phát sinh nhỏ hơn số đã trích trước) vào kỳ tính thuế kết thúc hợp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Đối với những tài sản cố định việc sửa chữa có tính chu kỳ thì doanh nghiệp được trích trước chi phí sửa chữa theo dự toán vào chi phí hàng năm. Nếu số thực chi sửa chữa lớn hơn số trích theo dự toán thì doanh nghiệp được tính thêm vào chi phí được trừ số chênh lệch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2.8. Chi cho người lao động thuộc một trong các trường hợp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Chi tiền lương, tiền công và các khoản phải trả khác cho người lao động doanh nghiệp đã hạch toán vào chi phí sản xuất kinh doanh trong kỳ nhưng thực tế không chi trả hoặc không có chứng từ thanh toán theo quy định của pháp luật.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Các khoản tiền lương, tiền thưởng cho người lao động không được ghi cụ thể điều kiện được hưởng và mức được hưởng tại một trong các hồ sơ sau: Hợp đồng lao động; Thoả ước lao động tập thể; Quy chế tài chính của Công ty, Tổng công ty, Tập đoàn; Quy chế thưởng do Chủ tịch Hội đồng quản trị, Tổng giám đốc, Giám đốc quy định theo quy chế tài chính của Công ty, Tổng công ty.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ký hợp đồng lao động với người nước ngoài trong đó có ghi khoản chi về tiền học cho con của người nước ngoài học tại Việt Nam theo bậc học từ mầm non đến trung học phổ thông được doanh nghiệp trả có tính chất tiền lương, tiền công và có đầy đủ hoá đơn, chứng từ theo quy định thì được tính vào chi phí được trừ khi xác định thu nhập chịu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ký hợp đồng lao động với người lao động trong đó có ghi khoản chi về tiền nhà do doanh nghiệp trả cho người lao động, khoản chi trả này có tính chất tiền lương, tiền công và có đầy đủ hoá đơn, chứng từ theo quy định thì được tính vào chi phí được trừ khi xác định thu nhập chịu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Việt Nam ký hợp đồng với doanh nghiệp nước ngoài trong đó nêu rõ doanh nghiệp Việt Nam phải chịu các chi phí về chỗ ở cho các chuyên gia nước ngoài trong thời gian công tác ở Việt Nam thì tiền thuê nhà cho các chuyên gia nước ngoài làm việc tại Việt Nam do doanh nghiệp Việt Nam chi trả được tính vào chi phí được trừ khi xác định thu nhập chịu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Chi tiền lương, tiền công và các khoản phụ cấp phải trả cho người lao động nhưng hết thời hạn nộp hồ sơ quyết toán thuế năm thực tế chưa chi, trừ trường hợp doanh nghiệp có trích lập quỹ dự phòng để bổ sung vào quỹ tiền lương của năm sau liền kề. Mức dự phòng hàng năm do doanh nghiệp quyết định nhưng không quá 17% quỹ tiền lương thực hiện.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Việc trích lập dự phòng tiền lương phải đảm bảo sau khi trích lập, doanh nghiệp không bị lỗ, nếu doanh nghiệp bị lỗ thì không được trích đủ 17%.</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năm trước doanh nghiệp có trích lập quỹ dự phòng tiền lương mà sau 6 tháng, kể từ ngày kết thúc kỳ tính thuế doanh nghiệp chưa sử dụng hoặc sử dụng không hết quỹ dự phòng tiền lương thì doanh nghiệp phải tính giảm chi phí của năm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d) Tiền lương, tiền công của chủ doanh nghiệp tư nhân, chủ công ty trách nhiệm hữu hạn một thành viên do một cá nhân làm chủ; thù lao trả cho các sáng lập viên, thành viên của hội đồng thành viên, hội đồng quản trị mà những người này không trực tiếp tham gia điều hành sản xuất, kinh doanh.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 Phần chi trang phục bằng hiện vật cho người lao động không có hóa đơn, chứng từ. Phần chi trang phục bằng tiền cho người lao động vượt quá 05 (năm) triệu đồng/người/năm.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có chi trang phục cả bằng tiền và hiện vật cho người lao động để được tính vào chi phí được trừ thì mức chi tối đa đối với chi bằng tiền không vượt quá 05 (năm) triệu đồng/người/năm, bằng hiện vật phải có hóa đơn, chứng từ.</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 Chi thưởng sáng kiến, cải tiến mà doanh nghiệp không có quy chế quy định cụ thể về việc chi thưởng sáng kiến, cải tiến, không có hội đồng nghiệm thu sáng kiến, cải tiến.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 Chi phụ cấp tàu xe đi nghỉ phép không đúng theo quy định của Bộ Luật Lao động.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Chi phụ cấp cho người lao động đi công tác, chi phí đi lại và tiền thuê chỗ ở cho người lao động đi công tác nếu có đầy đủ hóa đơn, chứng từ được tính vào chi phí được trừ khi xác định thu nhập chịu thuế. Trường hợp doanh nghiệp có khoán tiền đi lại, tiền ở, phụ cấp cho người lao động đi công tác và thực hiện đúng theo quy chế tài chính hoặc quy chế nội bộ của doanh nghiệp thì được tính vào chi phí được trừ khoản chi khoán tiền đi lại, tiền ở, tiền phụ cấp.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cử người lao động đi công tác (bao gồm công tác trong nước và công tác nước ngoài) nếu có phát sinh chi phí từ </w:t>
      </w:r>
      <w:r w:rsidRPr="006432AE">
        <w:rPr>
          <w:rFonts w:ascii="Arial" w:eastAsia="Times New Roman" w:hAnsi="Arial" w:cs="Arial"/>
          <w:b/>
          <w:bCs/>
          <w:color w:val="333333"/>
          <w:sz w:val="20"/>
          <w:szCs w:val="20"/>
        </w:rPr>
        <w:t>5</w:t>
      </w:r>
      <w:r w:rsidRPr="006432AE">
        <w:rPr>
          <w:rFonts w:ascii="Arial" w:eastAsia="Times New Roman" w:hAnsi="Arial" w:cs="Arial"/>
          <w:color w:val="333333"/>
          <w:sz w:val="20"/>
          <w:szCs w:val="20"/>
        </w:rPr>
        <w:t> triệu đồng trở lên, chi phí mua vé máy bay mà các khoản chi phí này được thanh toán bằng thẻ ngân hàng của cá nhân thì đủ điều kiện là hình thức thanh toán không dùng tiền mặt và tính vào chi phí được trừ nếu đáp ứng đủ các điều kiện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Có hóa đơn, chứng từ phù hợp do người cung cấp hàng hóa, dịch vụ giao xuất.</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Doanh nghiệp có quyết định hoặc văn bản cử người lao động đi công tác.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Quy chế tài chính hoặc quy chế nội bộ của doanh nghiệp cho phép người lao động được phép thanh toán khoản công tác phí, mua vé máy bay bằng thẻ ngân hàng do cá nhân là chủ thẻ và khoản chi này sau đó được doanh nghiệp thanh toán lại cho người lao động.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có mua vé máy bay qua website thương mại điện tử cho người lao động đi công tác để phục vụ hoạt động sản xuất kinh doanh của doanh nghiệp thì chứng từ làm căn cứ để tính vào chi phí được trừ là vé máy bay điện tử, thẻ lên máy bay (boarding pass) và chứng từ thanh toán không dùng tiền mặt của doanh nghiệp có cá nhân tham gia hành trình vận chuyển. Trường hợp doanh nghiệp không thu hồi được thẻ lên máy bay của người lao động thì chứng từ làm căn cứ để tính vào chi phí được trừ là vé máy bay điện tử, quyết định hoặc văn bản cử người lao động đi công tác và chứng từ thanh toán không dùng tiền mặt của doanh nghiệp có cá nhân tham gia hành trình vận chuyển.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h) Các khoản chi được trừ sau đây nhưng nếu chi không đúng đối tượng, không đúng mục đích: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Các khoản chi thêm cho lao động nữ, cụ thể: Chi cho công tác đào tạo lại nghề cho lao động nữ trong trường hợp nghề cũ không còn phù hợp phải chuyển đổi sang nghề khác theo quy hoạch phát triển của doanh nghiệp, bao gồm: học phí (nếu có) cộng (+) chênh lệch tiền lương ngạch bậc (đảm bảo 100% lương cho người đi học); chi phí tiền lương và phụ cấp (nếu có) cho giáo viên dạy ở nhà trẻ, mẫu giáo do doanh nghiệp tổ chức và quản lý; chi phí tổ chức khám sức khoẻ thêm trong năm như khám bệnh nghề nghiệp, mãn tính hoặc phụ khoa cho nữ công nhân viên; chi bồi dưỡng cho lao động nữ sau khi sinh con lần thứ nhất hoặc lần thứ hai; phụ cấp làm thêm giờ cho lao động nữ trong trường hợp vì lý do khách quan người lao động nữ không nghỉ sau khi sinh con, nghỉ cho con bú mà ở lại làm việc cho doanh nghiệp được trả theo chế độ hiện hành, kể cả trường hợp trả lương theo sản phẩm mà lao động nữ vẫn làm việc trong thời gian không nghỉ theo chế độ.</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Các khoản chi thêm cho lao động là người dân tộc thiểu số được tính vào chi phí được trừ bao gồm: học phí đi học (nếu có) cộng (+) chênh lệch tiền lương ngạch bậc (đảm bảo 100% lương cho người đi học); tiền hỗ trợ về nhà ở, bảo hiểm xã hội, bảo hiểm y tế cho người dân tộc thiểu số trong trường hợp chưa được Nhà nước hỗ trợ theo chế độ quy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i) Chi trả trợ cấp mất việc làm cho người lao động không theo đúng quy định hiện hành.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k) Chi phí mua thẻ hội viên sân gôn, chi phí chơi gôn.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2.9. Chi trả lãi tiền vay tương ứng với phần vốn điều lệ (đối với doanh nghiệp tư nhân là vốn đầu tư) đã đăng ký còn thiếu theo tiến độ góp vốn ghi trong điều lệ của doanh nghiệp kể cả trường hợp doanh nghiệp đã đi vào sản xuất kinh doanh; chi trả lãi tiền vay trong quá trình đầu tư đã được ghi nhận vào giá trị của tài sản, giá trị công trình đầu tư.</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Trường hợp doanh nghiệp đã góp đủ vốn điều lệ, trong quá trình kinh doanh có khoản chi trả lãi tiền vay để đầu tư vào doanh nghiệp khác thì khoản chi này được tính vào chi phí được trừ khi xác định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Chi trả lãi tiền vay tương ứng với vốn điều lệ còn thiếu theo tiến độ góp vốn ghi trong điều lệ của doanh nghiệp không được trừ khi xác định thu nhập chịu thuế được xác định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số tiền vay nhỏ hơn hoặc bằng số vốn điều lệ còn thiếu thì toàn bộ lãi tiền vay là khoản chi không được trừ.</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số tiền vay lớn hơn số vốn điều lệ còn thiếu theo tiến độ góp vốn: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Nếu doanh nghiệp phát sinh nhiều khoản vay thì khoản chi trả lãi tiền vay không được trừ bằng tỷ lệ (%) giữa vốn điều lệ còn thiếu trên tổng số tiền vay nhân (x) tổng số lãi vay.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Nếu doanh nghiệp chỉ phát sinh một khoản vay thì khoản chi trả lãi tiền vay không được trừ bằng số vốn điều lệ còn thiếu nhân (x) lãi suất của khoản vay nhân (x) thời gian góp vốn điều lệ còn thiếu.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2.10. Phần chi phí trả lãi tiền vay vốn sản xuất kinh doanh của đối tượng không phải là tổ chức tín dụng hoặc tổ chức kinh tế vượt quá mức quy định tại Điều 468 Bộ luật dân sự.</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2.11. Phần chi phí được phép thu hồi vượt quá tỷ lệ quy định tại hợp đồng dầu khí được duyệt; trường hợp hợp đồng dầu khí không quy định về tỷ lệ thu hồi chi phí thì phần chi phí vượt trên 35% không được tính vào chi phí được trừ; các chi phí không được tính vào chi phí thu hồi gồm: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Các khoản chi quy định tại khoản 2 Điều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Chi phí phát sinh trước khi hợp đồng dầu khí có hiệu lực, trừ trường hợp đã được thỏa thuận trong hợp đồng dầu khí hoặc theo quyết định của Thủ tướng Chính phủ.</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Các loại hoa hồng dầu khí và các khoản chi khác không tính vào chi phí thu hồi theo hợp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Chi lãi đối với khoản đầu tư cho tìm kiếm, thăm dò, phát triển mỏ và khai thác dầu khí.</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Tiền phạt, tiền bồi thường thiệt hại.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2.12. Thuế giá trị gia tăng đầu vào đã được khấu trừ hoặc hoàn thuế; thuế giá trị gia tăng nộp theo phương pháp khấu trừ; thuế giá trị gia tăng đầu vào của tài sản cố định là ô tô từ 9 chỗ ngồi trở xuống vượt mức quy định được khấu trừ theo quy định tại các văn bản pháp luật về thuế giá trị gia tăng; thuế thu nhập doanh nghiệp, trừ trường hợp doanh nghiệp nộp thay thuế thu nhập doanh nghiệp của nhà thầu nước ngoài mà theo thoả thuận tại hợp đồng nhà thầu, nhà thầu phụ nước ngoài, doanh thu nhà thầu, nhà thầu phụ nước ngoài nhận được không bao gồm thuế thu nhập doanh nghiệp; thuế thu nhập cá nhân, trừ trường hợp doanh nghiệp ký hợp đồng lao động quy định tiền lương, tiền công trả cho người lao động không bao gồm thuế thu nhập cá nhân; tiền chậm nộp theo quy định pháp luật về quản lý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 Số thuế giá trị </w:t>
      </w:r>
      <w:r w:rsidRPr="006432AE">
        <w:rPr>
          <w:rFonts w:ascii="Arial" w:eastAsia="Times New Roman" w:hAnsi="Arial" w:cs="Arial"/>
          <w:color w:val="333333"/>
          <w:sz w:val="20"/>
          <w:szCs w:val="20"/>
        </w:rPr>
        <w:lastRenderedPageBreak/>
        <w:t>gia tăng đầu vào khi đã được tính vào chi phí được trừ thì không được khấu trừ với số thuế giá trị gia tăng đầu ra.</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2.13. Chi đóng góp hình thành nguồn chi phí quản lý cho cấp trên; phần chi đóng góp vào các quỹ của Hiệp hội (các Hiệp hội này được thành lập theo quy định của pháp luật) vượt quá mức quy định của Hiệp hội.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2.14. Chi trả tiền điện, tiền nước đối với những hợp đồng điện nước do chủ sở hữu là hộ gia đình, cá nhân cho thuê địa điểm sản xuất, kinh doanh ký trực tiếp với đơn vị cung cấp điện, nước không có đủ chứng từ thuộc một trong các trường hợp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Trường hợp doanh nghiệp thuê địa điểm sản xuất kinh doanh trực tiếp thanh toán tiền điện, nước cho nhà cung cấp điện, nước không có các hoá đơn thanh toán tiền điện, nước và hợp đồng thuê địa điểm sản xuất kinh doanh.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Trường hợp doanh nghiệp thuê địa điểm sản xuất kinh doanh thanh toán tiền điện, nước với chủ sở hữu cho thuê địa điểm sản xuất kinh doanh không có chứng từ thanh toán tiền điện, nước đối với người cho thuê địa điểm sản xuất kinh doanh phù hợp với số lượng điện, nước thực tế tiêu thụ và hợp đồng thuê địa điểm sản xuất kinh doanh.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2.15. Phần chi phí thuê tài sản cố định vượt quá mức phân bổ theo số năm mà bên đi thuê trả tiền trước.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Đối với chi phí sửa chữa tài sản cố định đi thuê mà trong hợp đồng thuê tài sản quy định bên đi thuê có trách nhiệm sửa chữa tài sản trong thời gian thuê thì chi phí sửa chữa tài sản cố định đi thuê được phép hạch toán vào chi phí hoặc phân bổ dần vào chi phí nhưng thời gian tối đa không quá 03 năm.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có chi các khoản chi phí để có các tài sản không thuộc tài sản cố định: chi về mua và sử dụng các tài liệu kỹ thuật, bằng sáng chế, giấy phép chuyển giao công nghệ, nhãn hiệu thương mại, lợi thế kinh doanh, quyền sử dụng thương hiệu... thì các khoản chi này được phân bổ dần vào chi phí kinh doanh nhưng tối đa không quá 03 năm.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có góp vốn bằng giá trị lợi thế kinh doanh, giá trị quyền sử dụng thương hiệu thì giá trị lợi thế kinh doanh, giá trị quyền sử dụng thương hiệu góp vốn không tính vào chi phí được trừ khi xác định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2.16. Lỗ chênh lệch tỷ giá hối đoái do đánh giá lại các khoản mục tiền tệ có gốc ngoại tệ cuối kỳ tính thuế, bao gồm chênh lệch tỷ giá hối đoái do đánh giá lại số dư cuối năm là: tiền mặt, tiền gửi, tiền đang chuyển, các khoản nợ phải thu có gốc ngoại tệ (trừ lỗ chênh lệch tỷ giá hối đoái do đánh giá lại các khoản nợ phải trả có gốc ngoại tệ cuối kỳ tính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Trong giai đoạn đầu tư xây dựng để hình thành tài sản cố định của doanh nghiệp mới thành lập, chưa đi vào hoạt động, chênh lệch tỷ giá hối đoái phát sinh khi thanh toán các khoản mục tiền tệ có gốc ngoại tệ để thực hiện đầu tư xây dựng và chênh lệch tỷ giá hối đoái phát sinh khi đánh giá lại các khoản nợ phải trả có gốc ngoại tệ cuối kỳ tính thuế được phản ánh riêng biệt. Khi tài sản cố định hoàn thành đầu tư xây dựng đưa vào sử dụng thì chênh lệch tỷ giá hối đoái phát sinh trong giai đoạn đầu tư xây dựng (sau khi bù trừ số chênh lệch tăng và chênh lệch giảm) được phân bổ dần vào doanh thu hoạt động tài chính hoặc chi phí tài chính, thời gian phân bổ không quá 5 năm kể từ khi công trình đưa vào hoạt động.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Trong giai đoạn sản xuất, kinh doanh, kể cả việc đầu tư xây dựng để hình thành tài sản cố định của doanh nghiệp đang hoạt động, chênh lệch tỷ giá hối đoái phát sinh từ các giao dịch bằng ngoại tệ của các khoản mục tiền tệ có gốc ngoại tệ sẽ được hạch toán vào doanh thu hoạt động tài chính hoặc chi phí tài chính trong kỳ tính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Đối với khoản nợ phải thu và khoản cho vay có gốc ngoại tệ phát sinh trong kỳ, chênh lệch tỷ giá hối đoái, được tính vào chi phí được trừ là khoản chênh lệch giữa tỷ giá tại thời điểm phát sinh thu hồi nợ hoặc thu hồi khoản cho vay với tỷ giá tại thời điểm ghi nhận khoản nợ phải thu hoặc khoản cho vay ban đầu.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2.17. Chi tài trợ, chi ủng hộ địa phương, chi ủng hộ các đoàn thể, tổ chức xã hội, chi từ thiện, trừ chi ủng hộ, tài trợ quy định tại điểm b khoản 1 Điều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2.18. Chi về đầu tư xây dựng cơ bản trong giai đoạn đầu tư để hình thành tài sản cố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Khi bắt đầu hoạt động sản xuất kinh doanh, doanh nghiệp chưa phát sinh doanh thu nhưng có phát sinh các khoản chi thường xuyên để duy trì hoạt động sản xuất kinh doanh của doanh nghiệp (không phải là các khoản chi đầu tư xây dựng để hình thành tài sản cố định) mà các khoản chi này đáp ứng các điều kiện theo quy định thì khoản chi này được tính vào chi phí được trừ khi xác định thu nhập chịu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trong giai đoạn đầu tư, doanh nghiệp có phát sinh khoản chi trả tiền vay thì khoản chi này được tính vào giá trị đầu tư. Trường hợp trong giai đoạn đầu tư xây dựng cơ bản, doanh nghiệp phát sinh cả khoản chi trả lãi tiền vay và thu từ lãi tiền gửi thì được bù trừ giữa khoản chi trả lãi tiền vay và thu từ lãi tiền gửi, sau khi bù trừ phần chênh lệch còn lại ghi giảm giá trị đầu tư.</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2.19. Khoản chi liên quan trực tiếp đến việc phát hành cổ phiếu (trừ cổ phiếu thuộc loại nợ phải trả) và cổ tức của cổ phiếu (trừ cổ tức của cổ phiếu thuộc loại nợ phải trả), mua bán cổ phiếu quỹ và các khoản chi khác liên quan trực tiếp đến việc tăng, giảm vốn chủ sở hữu của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2.20. Số tiền cấp quyền khai thác khoáng sản vượt mức thực tế phát sinh của năm.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Trường hợp nộp một lần, mức thực tế phát sinh của năm được xác định trên cơ sở tổng số tiền cấp quyền khai thác khoáng sản phân bổ cho số năm khai thác còn lại.</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Trường hợp nộp hàng năm, mức thực tế phát sinh là số tiền cấp quyền khai thác khoáng sản của năm mà doanh nghiệp đã nộp Ngân sách Nhà nước.</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2.21. Các khoản chi của hoạt động kinh doanh: ngân hàng, bảo hiểm, xổ số, chứng khoán, </w:t>
      </w:r>
      <w:r w:rsidRPr="006432AE">
        <w:rPr>
          <w:rFonts w:ascii="Arial" w:eastAsia="Times New Roman" w:hAnsi="Arial" w:cs="Arial"/>
          <w:b/>
          <w:bCs/>
          <w:color w:val="333333"/>
          <w:sz w:val="20"/>
          <w:szCs w:val="20"/>
        </w:rPr>
        <w:t>hợp đồng BT, BOT, BTO</w:t>
      </w:r>
      <w:r w:rsidRPr="006432AE">
        <w:rPr>
          <w:rFonts w:ascii="Arial" w:eastAsia="Times New Roman" w:hAnsi="Arial" w:cs="Arial"/>
          <w:color w:val="333333"/>
          <w:sz w:val="20"/>
          <w:szCs w:val="20"/>
        </w:rPr>
        <w:t> và một số hoạt động kinh doanh đặc thù khác </w:t>
      </w:r>
      <w:r w:rsidRPr="006432AE">
        <w:rPr>
          <w:rFonts w:ascii="Arial" w:eastAsia="Times New Roman" w:hAnsi="Arial" w:cs="Arial"/>
          <w:b/>
          <w:bCs/>
          <w:color w:val="333333"/>
          <w:sz w:val="20"/>
          <w:szCs w:val="20"/>
        </w:rPr>
        <w:t>không đúng hoặc vượt mức quy định </w:t>
      </w:r>
      <w:r w:rsidRPr="006432AE">
        <w:rPr>
          <w:rFonts w:ascii="Arial" w:eastAsia="Times New Roman" w:hAnsi="Arial" w:cs="Arial"/>
          <w:color w:val="333333"/>
          <w:sz w:val="20"/>
          <w:szCs w:val="20"/>
        </w:rPr>
        <w:t>của </w:t>
      </w:r>
      <w:r w:rsidRPr="006432AE">
        <w:rPr>
          <w:rFonts w:ascii="Arial" w:eastAsia="Times New Roman" w:hAnsi="Arial" w:cs="Arial"/>
          <w:b/>
          <w:bCs/>
          <w:color w:val="333333"/>
          <w:sz w:val="20"/>
          <w:szCs w:val="20"/>
        </w:rPr>
        <w:t>cơ quan có thẩm quyền.</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Chi phí trả lãi tiền vay vượt mức phân bổ theo tỷ lệ doanh thu của các hợp đồng BT, BOT, BTO.</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Chi phí lãi vay trong kỳ của các hợp đồng BT, BOT, BTO được xác định theo công thức sau:</w:t>
      </w:r>
    </w:p>
    <w:tbl>
      <w:tblPr>
        <w:tblW w:w="0" w:type="auto"/>
        <w:tblInd w:w="7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838"/>
        <w:gridCol w:w="412"/>
        <w:gridCol w:w="3185"/>
        <w:gridCol w:w="412"/>
        <w:gridCol w:w="2489"/>
      </w:tblGrid>
      <w:tr w:rsidR="006432AE" w:rsidRPr="006432AE" w:rsidTr="006432AE">
        <w:tc>
          <w:tcPr>
            <w:tcW w:w="195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40" w:after="140" w:line="340" w:lineRule="atLeast"/>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Chi phí lãi vay trong kỳ</w:t>
            </w:r>
          </w:p>
        </w:tc>
        <w:tc>
          <w:tcPr>
            <w:tcW w:w="42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40" w:after="140" w:line="340" w:lineRule="atLeast"/>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w:t>
            </w:r>
          </w:p>
        </w:tc>
        <w:tc>
          <w:tcPr>
            <w:tcW w:w="340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40" w:after="140" w:line="340" w:lineRule="atLeast"/>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Tổng chi phí lãi vay theo phương án tài chính</w:t>
            </w:r>
          </w:p>
        </w:tc>
        <w:tc>
          <w:tcPr>
            <w:tcW w:w="42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40" w:after="140" w:line="340" w:lineRule="atLeast"/>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x</w:t>
            </w:r>
          </w:p>
        </w:tc>
        <w:tc>
          <w:tcPr>
            <w:tcW w:w="2655"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40" w:after="140" w:line="340" w:lineRule="atLeast"/>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Doanh thu thực hiện trong kỳ</w:t>
            </w:r>
          </w:p>
        </w:tc>
      </w:tr>
      <w:tr w:rsidR="006432AE" w:rsidRPr="006432AE" w:rsidTr="006432AE">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340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40" w:after="140" w:line="340" w:lineRule="atLeast"/>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Tổng doanh thu theo phương án tài chính</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r>
    </w:tbl>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Các khoản chi của hoạt động kinh doanh ngân hàng, bảo hiểm, xổ số, chứng khoán không đúng hoặc vượt mức quy định theo hướng dẫn của Bộ Tài chính.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2.22.</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Khoản chi không tương ứng với doanh thu tính thuế, trừ các khoản chi quy định tại điểm b khoản 1 Điều này;</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khoản chi không đáp ứng điều kiện chi, nội dung chi theo quy định của pháp luật chuyên ngành.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10. Thuế suất                                                        </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Thuế suất thuế thu nhập doanh nghiệp là 20%, trừ trường hợp quy định tại các khoản 2, 3 và 5 Điều này và đối tượng được ưu đãi về thuế suất quy định tại Điều 13 Nghị định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Thuế suất 15% áp dụng đối với doanh nghiệp có tổng doanh thu năm không quá 03 tỷ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3. Thuế suất 17% áp dụng đối với doanh nghiệp có tổng doanh thu năm từ trên 03 tỷ đồng đến không quá 50 tỷ đồng.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Tổng doanh thu làm căn cứ xác định doanh nghiệp thuộc đối tượng áp dụng thuế suất 15%, 17% quy định tại khoản 2 và khoản 3 Điều này là </w:t>
      </w:r>
      <w:r w:rsidRPr="006432AE">
        <w:rPr>
          <w:rFonts w:ascii="Arial" w:eastAsia="Times New Roman" w:hAnsi="Arial" w:cs="Arial"/>
          <w:b/>
          <w:bCs/>
          <w:color w:val="333333"/>
          <w:sz w:val="20"/>
          <w:szCs w:val="20"/>
        </w:rPr>
        <w:t>tổng doanh thu từ hoạt động bán hàng, cung cấp dịch và doanh thu từ hoạt động tài chính và thu nhập khác</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trên Phụ lục kết quả hoạt động sản xuất kinh doanh kèm theo tờ khai quyết toán thuế thu nhập doanh nghiệp của kỳ tính thuế năm trước liền kề.</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Trường hợp doanh nghiệp có thời gian hoạt động của kỳ tính thuế trước liền kề dưới 12 tháng thì tổng doanh thu kỳ tính thuế trước liền kề được xác định bằng tổng doanh thu thực tế trong kỳ tính thuế đó chia (:) cho số tháng doanh nghiệp thực tế hoạt động sản xuất, kinh doanh trong kỳ tính thuế nhân (x) với 12 tháng.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doanh nghiệp mới thành lập, doanh nghiệp chuyển đổi loại hình doanh nghiệp, chuyển đổi hình thức sở hữu, hợp nhất, sáp nhập, chia, tách trong tháng bất kỳ của kỳ tính thuế trước liền kề thì thời gian hoạt động được tính đủ tháng.</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Trường hợp doanh nghiệp mới thành lập trong kỳ tính thuế và dự kiến tổng doanh thu trong kỳ tính thuế không quá 03 tỷ đồng hoặc không quá 50 tỷ đồng thì doanh nghiệp xác định tạm nộp hàng quý tương ứng theo mức thuế suất 15% hoặc 17%.</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Kết thúc kỳ tính thuế, trường hợp tổng doanh thu thực tế trong kỳ tính thuế như dự kiến thì doanh nghiệp thực hiện kê khai, quyết toán thuế thu nhập doanh nghiệp theo quy định. Trường hợp tổng doanh thu thực tế không đáp ứng điều kiện để hưởng mức thuế suất tương ứng như dự kiến dẫn đến nộp thiếu so với số thuế phải tạm nộp theo quy định thì doanh nghiệp nộp bổ sung số tiền thuế còn thiếu và tiền chậm nộp theo quy định của pháp luật về quản lý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Thuế suất 15% và 17% quy định tại Điều này không áp dụng đối với doanh nghiệp là công ty con hoặc công ty có quan hệ liên kết mà doanh nghiệp trong quan hệ liên kết không phải là doanh nghiệp đáp ứng điều kiện áp dụng thuế suất quy định tại khoản 2 và 3 Điều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5. Thuế suất thuế thu nhập doanh nghiệp đối với một số trường hợp khác được quy định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Đối với hoạt động tìm kiếm, thăm dò và khai thác dầu khí từ 25% đến 50%. Căn cứ vào vị trí, điều kiện khai thác và trữ lượng mỏ, Thủ tướng Chính phủ quyết định mức thuế suất cụ thể phù hợp với từng hợp đồng dầu khí.</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Đối với hoạt động thăm dò, khai thác tài nguyên quý hiếm (bao gồm: bạch kim, vàng, bạc, thiếc, wonfram, antimoan, đá quý, đất hiếm và tài nguyên quý hiếm khác theo quy định của pháp luật) là 50%. Trường hợp các mỏ có từ 70% diện tích được giao trở lên ở địa bàn có điều kiện kinh tế - xã hội đặc biệt khó khăn, thuế suất là 40%.</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11. Phương pháp tính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Số thuế thu nhập doanh nghiệp phải nộp trong kỳ tính thuế được tính bằng thu nhập tính thuế nhân với thuế suất, trừ trường hợp quy định tại các khoản 2, 3 và 4 Điều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Doanh nghiệp Việt Nam đầu tư ở nước ngoài có phát sinh thu nhập từ hoạt động sản xuất, kinh doanh tại nước ngoài trong kỳ tính thuế thực hiện như sau đây: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a1) Đối với các nước mà Việt Nam đã ký Hiệp định tránh đánh thuế hai lần thì thực hiện theo quy định của Hiệp định.</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a2) Đối với các nước mà Việt Nam chưa ký Hiệp định tránh đánh thuế hai lần, trường hợp thuế thu nhập doanh nghiệp ở các nước mà doanh nghiệp đầu tư có mức thuế suất thuế thu nhập doanh nghiệp thấp hơn thì thu phần chênh lệch so với số thuế thu nhập doanh nghiệp tính theo Luật thuế thu nhập doanh nghiệp của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Doanh nghiệp Việt Nam đầu tư ra nước ngoài có thu nhập từ hoạt động sản xuất, kinh doanh tại nước ngoài, thực hiện kê khai và nộp thuế thu nhập doanh nghiệp theo quy định của Luật Thuế thu nhập doanh nghiệp của Việt Nam, kể cả trường hợp doanh nghiệp đang được hưởng ưu đãi miễn, giảm thuế thu nhập theo quy định của nước doanh nghiệp đầu tư. Mức thuế suất thuế thu nhập doanh nghiệp để tính và kê khai thuế đối với các khoản thu nhập từ nước ngoài là 20%, không áp dụng mức thuế suất ưu đãi (nếu có) mà doanh nghiệp Việt Nam đầu tư ra nước ngoài đang được hưởng theo Luật Thuế thu nhập doanh nghiệp của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Trường hợp khoản thu nhập từ dự án đầu tư tại nước ngoài đã chịu thuế thu nhập doanh nghiệp (hoặc một loại thuế có bản chất tương tự như thuế thu nhập doanh nghiệp) ở nước ngoài, khi tính thuế thu nhập doanh nghiệp phải nộp tại Việt Nam, doanh nghiệp Việt Nam đầu tư ra nước ngoài được trừ số thuế đã nộp ở nước ngoài hoặc đã được đối tác nước tiếp nhận đầu tư trả thay (kể cả thuế đối với tiền lãi cổ phần), nhưng số thuế được trừ không vượt quá số thuế thu nhập tính theo quy định của Luật thuế thu nhập doanh nghiệp của Việt Nam. Số thuế thu nhập doanh nghiệp Việt Nam đầu tư ra nước ngoài được miễn, giảm đối với phần lợi nhuận được hưởng từ dự án đầu tư ở nước ngoài theo luật pháp của nước doanh nghiệp đầu tư cũng được trừ khi xác định số thuế thu nhập doanh nghiệp phải nộp tại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Trường hợp doanh nghiệp Việt Nam đầu tư ở nước ngoài có thu nhập từ dự án đầu tư tại nước ngoài trong kỳ tính thuế mà không thực hiện kê khai, nộp thuế đối với phần thu nhập này thì cơ quan thuế thực hiện ấn định thu nhập chịu thuế từ hoạt động sản xuất, kinh doanh tại nước ngoài theo quy định của pháp luật về quản lý thuế.</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Khoản thu nhập từ dự án đầu tư tại nước ngoài được kê khai vào quyết toán thuế thu nhập doanh nghiệp của kỳ tính thuế phát sinh khoản thuế thu nhập doanh nghiệp phải nộp ở nước ngoài. Khoản thu nhập (lãi), khoản lỗ phát sinh từ dự án đầu tư ở nước ngoài không được trừ vào số lỗ, số thu nhập (lãi) phát sinh trong nước của doanh nghiệp khi tính thuế thu nhập doanh nghiệp.</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Bộ Tài chính hướng dẫn cụ thể hồ sơ kê khai và nộp thuế của doanh nghiệp Việt Nam đầu tư ra nước ngoài đối với khoản thu nhập từ dự án đầu tư tại nước ngoài quy định tại khoản này.</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Doanh nghiệp </w:t>
      </w:r>
      <w:r w:rsidRPr="006432AE">
        <w:rPr>
          <w:rFonts w:ascii="Arial" w:eastAsia="Times New Roman" w:hAnsi="Arial" w:cs="Arial"/>
          <w:b/>
          <w:bCs/>
          <w:color w:val="333333"/>
          <w:sz w:val="20"/>
          <w:szCs w:val="20"/>
        </w:rPr>
        <w:t>là công ty mẹ có số thuế được phân bổ từ số thuế bổ sung của đơn vị hợp thành chịu thuế suất thấp</w:t>
      </w:r>
      <w:r w:rsidRPr="006432AE">
        <w:rPr>
          <w:rFonts w:ascii="Arial" w:eastAsia="Times New Roman" w:hAnsi="Arial" w:cs="Arial"/>
          <w:color w:val="333333"/>
          <w:sz w:val="20"/>
          <w:szCs w:val="20"/>
        </w:rPr>
        <w:t> theo quy định tại </w:t>
      </w:r>
      <w:r w:rsidRPr="006432AE">
        <w:rPr>
          <w:rFonts w:ascii="Arial" w:eastAsia="Times New Roman" w:hAnsi="Arial" w:cs="Arial"/>
          <w:b/>
          <w:bCs/>
          <w:color w:val="333333"/>
          <w:sz w:val="20"/>
          <w:szCs w:val="20"/>
        </w:rPr>
        <w:t>khoản 11 Điều 5</w:t>
      </w:r>
      <w:r w:rsidRPr="006432AE">
        <w:rPr>
          <w:rFonts w:ascii="Arial" w:eastAsia="Times New Roman" w:hAnsi="Arial" w:cs="Arial"/>
          <w:color w:val="333333"/>
          <w:sz w:val="20"/>
          <w:szCs w:val="20"/>
        </w:rPr>
        <w:t> Nghị quyết số 107/2023/QH15 ngày 29/11/2023 của Quốc hội và các văn bản hướng dẫn thì </w:t>
      </w:r>
      <w:r w:rsidRPr="006432AE">
        <w:rPr>
          <w:rFonts w:ascii="Arial" w:eastAsia="Times New Roman" w:hAnsi="Arial" w:cs="Arial"/>
          <w:b/>
          <w:bCs/>
          <w:color w:val="333333"/>
          <w:sz w:val="20"/>
          <w:szCs w:val="20"/>
        </w:rPr>
        <w:t>số thuế được phân bổ được</w:t>
      </w:r>
      <w:r w:rsidRPr="006432AE">
        <w:rPr>
          <w:rFonts w:ascii="Arial" w:eastAsia="Times New Roman" w:hAnsi="Arial" w:cs="Arial"/>
          <w:color w:val="333333"/>
          <w:sz w:val="20"/>
          <w:szCs w:val="20"/>
        </w:rPr>
        <w:t> trừ vào số thuế thu nhập doanh nghiệp phải nộp theo pháp luật thuế thu nhập doanh nghiệp của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Việc bù trừ quy định tại điểm này được thực hiện vào kỳ tính thuế mà doanh nghiệp kê khai và nộp thuế theo quy định tại Nghị quyết số 107/2023/QH15.</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2. Số thuế thu nhập doanh nghiệp phải nộp đối với doanh nghiệp nước ngoài quy định tại các điểm c, d khoản 2</w:t>
      </w:r>
      <w:r w:rsidRPr="006432AE">
        <w:rPr>
          <w:rFonts w:ascii="Arial" w:eastAsia="Times New Roman" w:hAnsi="Arial" w:cs="Arial"/>
          <w:b/>
          <w:bCs/>
          <w:strike/>
          <w:color w:val="333333"/>
          <w:sz w:val="20"/>
          <w:szCs w:val="20"/>
        </w:rPr>
        <w:t>3</w:t>
      </w:r>
      <w:r w:rsidRPr="006432AE">
        <w:rPr>
          <w:rFonts w:ascii="Arial" w:eastAsia="Times New Roman" w:hAnsi="Arial" w:cs="Arial"/>
          <w:b/>
          <w:bCs/>
          <w:color w:val="333333"/>
          <w:sz w:val="20"/>
          <w:szCs w:val="20"/>
        </w:rPr>
        <w:t> Điều 2 Luật thuế thu nhập doanh nghiệp (sửa đổi) được tính theo tỷ lệ % trên doanh thu phát sinh tại Việt Nam.</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Doanh thu tính thuế được xác định theo quy định tại Điều 8 Nghị định này. Bộ Tài chính quy định chi tiết về xác định doanh thu tính thuế thu nhập doanh nghiệp đối với một số trường hợp cụ thể.</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Dịch vụ: 5%, riêng dịch vụ quản lý nhà hàng, khách sạn, casino: 10%; trường hợp cung ứng dịch vụ có gắn với hàng hóa thì hàng hóa được tính theo tỷ lệ 1%; trường hợp không tách riêng được giá trị hàng hoá với giá trị dịch vụ: 2%.</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Cung cấp và phân phối hàng hóa tại Việt Nam theo hình thức xuất nhập khẩu tại chỗ và hình thức khác hoặc theo các điều khoản thương mại quốc tế (Incoterms): 1%;</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Tiền bản quyền: 10%.</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 Cho thuê máy bay, trực thăng, tàu lượn (kể cả thuê động cơ, phụ tùng), tàu biển: 2%.</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đ) Cho thuê giàn khoan, máy móc, thiết bị, phương tiện vận tải (trừ quy định tại tiết b.4 điểm này): 5%.</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e) Lãi tiền vay:  </w:t>
      </w:r>
      <w:r w:rsidRPr="006432AE">
        <w:rPr>
          <w:rFonts w:ascii="Arial" w:eastAsia="Times New Roman" w:hAnsi="Arial" w:cs="Arial"/>
          <w:b/>
          <w:bCs/>
          <w:strike/>
          <w:color w:val="333333"/>
          <w:sz w:val="20"/>
          <w:szCs w:val="20"/>
        </w:rPr>
        <w:t>5</w:t>
      </w:r>
      <w:r w:rsidRPr="006432AE">
        <w:rPr>
          <w:rFonts w:ascii="Arial" w:eastAsia="Times New Roman" w:hAnsi="Arial" w:cs="Arial"/>
          <w:b/>
          <w:bCs/>
          <w:color w:val="333333"/>
          <w:sz w:val="20"/>
          <w:szCs w:val="20"/>
        </w:rPr>
        <w:t> 10%.</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g) Chuyển nhượng chứng khoán, tái bảo hiểm ra nước ngoài: 0,1%.</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h) Dịch vụ tài chính phái sinh: 2%.</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i) Chuyển nhượng vốn mà chủ sở hữu không trực tiếp điều hành các hoạt động của doanh nghiệp tại Việt Nam, chuyển nhượng tài sản: 2%.</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k) Xây dựng, vận tải và hoạt động khác: 2%.</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3. Doanh nghiệp có tổng doanh thu năm không quá 03 tỷ đồng quy định tại khoản 2 Điều 10 của Nghị định này, trong trường hợp xác định được doanh thu nhưng không xác định được chi phí, thu nhập của hoạt động sản xuất, kinh doanh </w:t>
      </w:r>
      <w:r w:rsidRPr="006432AE">
        <w:rPr>
          <w:rFonts w:ascii="Arial" w:eastAsia="Times New Roman" w:hAnsi="Arial" w:cs="Arial"/>
          <w:b/>
          <w:bCs/>
          <w:color w:val="333333"/>
          <w:sz w:val="20"/>
          <w:szCs w:val="20"/>
        </w:rPr>
        <w:t>thì kê khai nộp thuế thu nhập doanh nghiệp theo tỷ lệ phần trăm (%) trên doanh thu bán hàng hoá, dịch vụ, cụ thể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Phân phối, cung cấp hàng hóa: 0,3%.</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Sản xuất, vận tải, dịch vụ có gắn với hàng hóa, xây dựng có bao thầu nguyên vật liệu: 1,2%.</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Dịch vụ, xây dựng không bao thầu nguyên vật liệu: 1,5%. Riêng hoạt động cho thuê tài sản, đại lý bảo hiểm, đại lý xổ số, đại lý bán hàng đa cấp 4%.</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 Hoạt động khác: 0,5%.</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Hợp tác xã, Liên hiệp hợp tác xã được thành lập theo quy định của Luật Hợp tác xã, đơn vị sự nghiệp và tổ chức khác quy định tại các điểm c, d và đ khoản 1 Điều 2 của Luật thuế thu nhập doanh nghiệp (sửa đổi) có hoạt động sản xuất, kinh doanh hàng hoá, dịch vụ có thu nhập chịu thuế thu nhập doanh nghiệp (trừ thu nhập được miễn thuế quy định tại Điều 4 Nghị định này) mà các đơn vị này hạch toán được doanh thu nhưng không xác định được chi phí, thu nhập của hoạt động sản xuất, kinh doanh </w:t>
      </w:r>
      <w:r w:rsidRPr="006432AE">
        <w:rPr>
          <w:rFonts w:ascii="Arial" w:eastAsia="Times New Roman" w:hAnsi="Arial" w:cs="Arial"/>
          <w:b/>
          <w:bCs/>
          <w:color w:val="333333"/>
          <w:sz w:val="20"/>
          <w:szCs w:val="20"/>
        </w:rPr>
        <w:t>thì kê khai nộp thuế thu nhập doanh nghiệp tính theo tỷ lệ % trên doanh thu bán hàng hoá, dịch vụ, cụ thể như sau:</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Đối với dịch vụ (bao gồm cả lãi tiền gửi, lãi tiền cho vay): 5%. Riêng dịch vụ trong lĩnh vực giáo dục, y tế, biểu diễn nghệ thuật: 2%.</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Đối với sản xuất, kinh doanh hàng hoá: 1%.</w:t>
      </w:r>
    </w:p>
    <w:p w:rsidR="006432AE" w:rsidRPr="006432AE" w:rsidRDefault="006432AE" w:rsidP="006432AE">
      <w:pPr>
        <w:spacing w:before="0"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Đối với hoạt động khác: 2%.</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Chương III</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THU NHẬP TỪ CHUYỂN NHƯỢNG VỐN, CHUYỂN NHƯỢNG</w:t>
      </w:r>
      <w:r w:rsidRPr="006432AE">
        <w:rPr>
          <w:rFonts w:ascii="Arial" w:eastAsia="Times New Roman" w:hAnsi="Arial" w:cs="Arial"/>
          <w:b/>
          <w:bCs/>
          <w:color w:val="333333"/>
          <w:sz w:val="20"/>
          <w:szCs w:val="20"/>
        </w:rPr>
        <w:br/>
        <w:t>CHỨNG KHOÁN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Điều 12. Thu nhập từ chuyển nhượng vốn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1. Thu nhập từ chuyển nhượng vốn của doanh nghiệp là thu nhập có được từ chuyển nhượng một phần hoặc toàn bộ số vốn của doanh nghiệp đã đầu tư cho một hoặc nhiều tổ chức, cá nhân khác (bao gồm cả trường hợp bán doanh nghiệp, chuyển nhượng quyền góp vốn và các hình thức chuyển nhượng vốn khác theo quy định của pháp luật), chuyển nhượng cổ phần của công ty không phải là công ty đại chúng theo quy định của Luật Chứng khoán.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Quy định này không áp dụng đối với các trường hợp quy định tại khoản 2 Điều 11.</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Thời điểm xác định thu nhập từ chuyển nhượng vốn là thời điểm chuyển quyền sở hữu vốn.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a) Trường hợp doanh nghiệp bán toàn bộ Công ty trách nhiệm hữu hạn một thành viên do tổ chức làm chủ sở hữu dưới hình thức chuyển nhượng vốn có gắn với bất động sản thì kê khai và nộp thuế thu nhập doanh nghiệp theo hoạt động chuyển nhượng bất động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b) Trường hợp doanh nghiệp có chuyển nhượng vốn không nhận bằng tiền mà nhận bằng tài sản, lợi ích vật chất khác (cổ phiếu, chứng chỉ quỹ...) có phát sinh thu nhập thì phải chịu thuế thu nhập doanh nghiệp. Giá trị tài sản, cổ phiếu, chứng chỉ quỹ... được xác định theo giá bán của sản phẩm trên thị trường tại thời điểm nhận tài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2. Căn cứ tính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a) Thu nhập tính thuế từ chuyển nhượng vốn được xác định:</w:t>
      </w:r>
    </w:p>
    <w:tbl>
      <w:tblPr>
        <w:tblW w:w="0" w:type="auto"/>
        <w:tblInd w:w="108"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618"/>
        <w:gridCol w:w="333"/>
        <w:gridCol w:w="1590"/>
        <w:gridCol w:w="315"/>
        <w:gridCol w:w="2805"/>
        <w:gridCol w:w="283"/>
        <w:gridCol w:w="2004"/>
      </w:tblGrid>
      <w:tr w:rsidR="006432AE" w:rsidRPr="006432AE" w:rsidTr="006432AE">
        <w:trPr>
          <w:trHeight w:val="1110"/>
        </w:trPr>
        <w:tc>
          <w:tcPr>
            <w:tcW w:w="0" w:type="auto"/>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Thu nhập tính thuế</w:t>
            </w:r>
          </w:p>
        </w:tc>
        <w:tc>
          <w:tcPr>
            <w:tcW w:w="0" w:type="auto"/>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i/>
                <w:iCs/>
                <w:color w:val="333333"/>
                <w:sz w:val="20"/>
                <w:szCs w:val="20"/>
              </w:rPr>
              <w:t>=</w:t>
            </w:r>
          </w:p>
        </w:tc>
        <w:tc>
          <w:tcPr>
            <w:tcW w:w="159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Giá chuyển</w:t>
            </w:r>
            <w:r w:rsidRPr="006432AE">
              <w:rPr>
                <w:rFonts w:ascii="Arial" w:eastAsia="Times New Roman" w:hAnsi="Arial" w:cs="Arial"/>
                <w:color w:val="333333"/>
                <w:sz w:val="20"/>
                <w:szCs w:val="20"/>
              </w:rPr>
              <w:br/>
              <w:t>nhượng</w:t>
            </w:r>
          </w:p>
        </w:tc>
        <w:tc>
          <w:tcPr>
            <w:tcW w:w="31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i/>
                <w:iCs/>
                <w:color w:val="333333"/>
                <w:sz w:val="20"/>
                <w:szCs w:val="20"/>
              </w:rPr>
              <w:t>-</w:t>
            </w:r>
          </w:p>
        </w:tc>
        <w:tc>
          <w:tcPr>
            <w:tcW w:w="2805"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Giá mua của phần vốn chuyển nhượng</w:t>
            </w:r>
          </w:p>
        </w:tc>
        <w:tc>
          <w:tcPr>
            <w:tcW w:w="0" w:type="auto"/>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i/>
                <w:iCs/>
                <w:color w:val="333333"/>
                <w:sz w:val="20"/>
                <w:szCs w:val="20"/>
              </w:rPr>
              <w:t>-</w:t>
            </w:r>
          </w:p>
        </w:tc>
        <w:tc>
          <w:tcPr>
            <w:tcW w:w="0" w:type="auto"/>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Chi phí chuyển nhượng</w:t>
            </w:r>
          </w:p>
        </w:tc>
      </w:tr>
    </w:tbl>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Trong đó:</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Giá chuyển nhượng được xác định là tổng giá trị thực tế mà bên chuyển nhượng thu được theo hợp đồng chuyển nhượng.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hợp đồng chuyển nhượng vốn quy định việc thanh toán theo hình thức trả góp, trả chậm thì doanh thu của hợp đồng chuyển nhượng không bao gồm lãi trả góp, lãi trả chậm theo thời hạn quy định trong hợp đồng.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hợp đồng chuyển nhượng không quy định giá thanh toán hoặc cơ quan thuế có cơ sở để xác định giá thanh toán không phù hợp theo giá thị trường, cơ quan thuế có quyền kiểm tra và ấn định giá chuyển nhượng. Doanh nghiệp có chuyển nhượng một phần vốn góp trong doanh nghiệp mà giá chuyển nhượng đối với phần vốn góp này không phù hợp theo giá thị trường thì cơ quan thuế được ấn định lại toàn bộ giá trị của doanh nghiệp tại thời điểm chuyển nhượng để xác định lại giá chuyển nhượng tương ứng với tỷ lệ phần vốn góp chuyển nhượng.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Căn cứ ấn định giá chuyển nhượng dựa vào tài liệu điều tra của cơ quan thuế hoặc căn cứ giá chuyển nhượng vốn của các trường hợp khác ở cùng thời gian, cùng tổ chức kinh tế hoặc các hợp đồng chuyển nhượng tương tự tại thời điểm chuyển nhượng. Trường hợp việc ấn định giá chuyển nhượng của cơ quan thuế không phù hợp thì được căn cứ theo giá thẩm định của các tổ chức định giá chuyên nghiệp có thẩm quyền xác định giá chuyển nhượng tại thời điểm chuyển nhượng theo đúng quy định.</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Doanh nghiệp có hoạt động chuyển nhượng vốn cho tổ chức, cá nhân thì phần giá trị vốn chuyển nhượng theo hợp đồng chuyển nhượng có giá trị từ </w:t>
      </w:r>
      <w:r w:rsidRPr="006432AE">
        <w:rPr>
          <w:rFonts w:ascii="Arial" w:eastAsia="Times New Roman" w:hAnsi="Arial" w:cs="Arial"/>
          <w:b/>
          <w:bCs/>
          <w:color w:val="333333"/>
          <w:sz w:val="20"/>
          <w:szCs w:val="20"/>
        </w:rPr>
        <w:t>năm</w:t>
      </w:r>
      <w:r w:rsidRPr="006432AE">
        <w:rPr>
          <w:rFonts w:ascii="Arial" w:eastAsia="Times New Roman" w:hAnsi="Arial" w:cs="Arial"/>
          <w:color w:val="333333"/>
          <w:sz w:val="20"/>
          <w:szCs w:val="20"/>
        </w:rPr>
        <w:t> triệu đồng trở lên phải có chứng từ thanh toán không dùng tiền mặt. Trường hợp việc chuyển nhượng vốn không có chứng từ thanh toán không dùng tiền mặt thì cơ quan thuế có quyền ấn định giá chuyển nhượng.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Giá mua của phần vốn chuyển nhượng được xác định đối với từng trường hợp như sau: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Nếu là chuyển nhượng vốn góp thành lập doanh nghiệp là giá trị phần vốn góp lũy kế đến thời điểm chuyển nhượng vốn trên cơ sở sổ sách, hồ sơ, chứng từ kế toán và được các bên tham gia đầu tư vốn hoặc tham gia hợp đồng hợp tác kinh doanh xác nhận, hoặc kết quả kiểm toán của công ty kiểm toán độc lập đối với doanh nghiệp 100% vốn nước ngoài.</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Nếu là phần vốn do mua lại thì giá mua là giá trị vốn tại thời điểm mua. Giá mua được xác định căn cứ vào hợp đồng mua lại phần vốn góp, chứng từ thanh toán.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            Trường hợp doanh nghiệp đủ điều kiện hạch toán kế toán bằng đồng ngoại tệ và thực hiện theo đúng quy định của pháp luật về chế độ kế toán có chuyển nhượng vốn góp bằng ngoại tệ thì giá chuyển </w:t>
      </w:r>
      <w:r w:rsidRPr="006432AE">
        <w:rPr>
          <w:rFonts w:ascii="Arial" w:eastAsia="Times New Roman" w:hAnsi="Arial" w:cs="Arial"/>
          <w:color w:val="333333"/>
          <w:sz w:val="20"/>
          <w:szCs w:val="20"/>
        </w:rPr>
        <w:lastRenderedPageBreak/>
        <w:t>nhượng và giá mua của phần vốn chuyển nhượng được xác định bằng đồng ngoại tệ; Trường hợp doanh nghiệp hạch toán kế toán bằng đồng Việt Nam có chuyển nhượng vốn góp bằng ngoại tệ thì giá chuyển nhượng phải được xác định bằng đồng Việt Nam theo pháp luật về quản lý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Chi phí chuyển nhượng là các khoản chi thực tế liên quan trực tiếp đến việc chuyển nhượng, có chứng từ, hóa đơn hợp pháp. Trường hợp chi phí chuyển nhượng phát sinh ở nước ngoài thì các chứng từ gốc đó phải được một cơ quan công chứng hoặc kiểm toán độc lập của nước có chi phí phát sinh xác nhận và chứng từ phải được dịch ra tiếng Việt (có xác nhận của đại diện có thẩm quyền).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Chi phí chuyển nhượng bao gồm: chi phí để làm các thủ tục pháp lý cần thiết cho việc chuyển nhượng; các khoản phí và lệ phí phải nộp khi làm thủ tục chuyển nhượng; các chi phí giao dịch, đàm phán, ký kết hợp đồng chuyển nhượng và các chi phí khác có chứng từ chứng minh.</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b) Doanh nghiệp có thu nhập từ chuyển nhượng vốn thì khoản thu nhập này được xác định là khoản thu nhập khác và kê khai vào thu nhập chịu thuế khi tính thuế thu nhập doanh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Điều 13. Thu nhập từ chuyển nhượng chứng khoán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1. Thu nhập từ chuyển nhượng chứng khoán của doanh nghiệp là thu nhập có được từ việc chuyển nhượng cổ phiếu, trái phiếu, chứng chỉ quỹ và các loại chứng khoán khác </w:t>
      </w:r>
      <w:r w:rsidRPr="006432AE">
        <w:rPr>
          <w:rFonts w:ascii="Arial" w:eastAsia="Times New Roman" w:hAnsi="Arial" w:cs="Arial"/>
          <w:b/>
          <w:bCs/>
          <w:color w:val="333333"/>
          <w:sz w:val="20"/>
          <w:szCs w:val="20"/>
        </w:rPr>
        <w:t>của công ty đại chúng</w:t>
      </w:r>
      <w:r w:rsidRPr="006432AE">
        <w:rPr>
          <w:rFonts w:ascii="Arial" w:eastAsia="Times New Roman" w:hAnsi="Arial" w:cs="Arial"/>
          <w:color w:val="333333"/>
          <w:sz w:val="20"/>
          <w:szCs w:val="20"/>
        </w:rPr>
        <w:t> theo quy định của Luật Chứng khoán.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a) Trường hợp doanh nghiệp thực hiện phát hành thêm cổ phiếu để huy động vốn thì phần chênh lệch giữa giá phát hành và mệnh giá không tính vào thu nhập chịu thuế để tính thuế thu nhập doanh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b) Trường hợp doanh nghiệp tiến hành chia, tách, hợp nhất, sáp nhập mà thực hiện hoán đổi cổ phiếu tại thời điểm chia, tách, hợp nhất, sáp nhập nếu phát sinh thu nhập thì phần thu nhập này phải chịu thuế thu nhập doanh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c) Trường hợp doanh nghiệp có chuyển nhượng chứng khoán không nhận bằng tiền mà nhận bằng tài sản, lợi ích vật chất khác (cổ phiếu, chứng chỉ quỹ...) có phát sinh thu nhập thì phải chịu thuế thu nhập doanh nghiệp. Giá trị tài sản, cổ phiếu, chứng chỉ quỹ... được xác định theo giá bán của sản phẩm trên thị trường tại thời điểm nhận tài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2. Căn cứ tính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Thu nhập tính thuế từ chuyển nhượng chứng khoán trong kỳ được xác định bằng giá bán chứng khoán trừ (-) giá mua của chứng khoán chuyển nhượng, trừ (-) các chi phí liên quan đến việc chuyển nhượng.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Giá bán chứng khoán được xác định như sau: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Đối với chứng khoán niêm yết và chứng khoán của công ty đại chúng chưa niêm yết nhưng thực hiện đăng ký giao dịch tại trung tâm giao dịch chứng khoán thì giá bán chứng khoán là giá thực tế bán chứng khoán (là giá khớp lệnh hoặc giá thỏa thuận) theo thông báo của Sở giao dịch chứng khoán, trung tâm giao dịch chứng khoán.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Đối với chứng khoán của các công ty không thuộc các trường hợp nêu trên thì giá bán chứng khoán là giá chuyển nhượng ghi trên hợp đồng chuyển nhượng.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Giá mua của chứng khoán được xác định như sau: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Đối với chứng khoán niêm yết và chứng khoán của công ty đại chúng chưa niêm yết nhưng thực hiện đăng ký giao dịch tại trung tâm giao dịch chứng khoán thì giá mua chứng khoán là giá thực mua chứng khoán (là giá khớp lệnh hoặc giá thỏa thuận) theo thông báo của Sở giao dịch chứng khoán, trung tâm giao dịch chứng khoán.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Đối với chứng khoán mua thông qua đấu giá thì giá mua chứng khoán là mức giá ghi trên thông báo kết quả trúng đấu giá cổ phần của tổ chức thực hiện đấu giá cổ phần và giấy nộp tiền.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            + Đối với chứng khoán không thuộc các trường hợp nêu trên: giá mua chứng khoán là giá chuyển nhượng ghi trên hợp đồng chuyển nhượng.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Chi phí chuyển nhượng là các khoản chi thực tế liên quan trực tiếp đến việc chuyển nhượng, có chứng từ, hóa đơn hợp pháp.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Chi phí chuyển nhượng bao gồm: chi phí để làm các thủ tục pháp lý cần thiết cho việc chuyển nhượng; Các khoản phí và lệ phí phải nộp khi làm thủ tục chuyển nhượng; Phí lưu ký chứng khoán theo quy định của Ủy ban chứng khoán Nhà nước và chứng từ thu của công ty chứng khoán; Phí ủy thác chứng khoán căn cứ vào chứng từ thu của đơn vị nhận ủy thác; Các chi phí giao dịch, đàm phán, ký kết hợp đồng chuyển nhượng và các chi phí khác có chứng từ chứng minh.</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Doanh nghiệp có thu nhập từ chuyển nhượng chứng khoán thì khoản thu nhập này được xác định là khoản thu nhập khác và kê khai vào thu nhập chịu thuế khi tính thuế thu nhập doanh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Chương IV</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THU NHẬP TỪ CHUYỂN NHƯỢNG BẤT ĐỘNG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Điều 14. Đối tượng chịu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1. Doanh nghiệp thuộc diện chịu thuế thu nhập từ chuyển nhượng bất động sản bao gồm: Doanh nghiệp thuộc mọi thành phần kinh tế, mọi ngành nghề có thu nhập từ hoạt động chuyển nhượng bất động sản; Doanh nghiệp kinh doanh bất động sản có thu nhập từ hoạt động cho thuê lại đất.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2. Thu nhập từ hoạt động chuyển nhượng bất động sản bao gồm: thu nhập từ chuyển nhượng quyền sử dụng đất, chuyển nhượng quyền thuê đất (gồm cả chuyển nhượng dự án gắn với chuyển nhượng quyền sử dụng đất, quyền thuê đất theo quy định của pháp luật); Thu nhập từ hoạt động cho thuê lại đất của doanh nghiệp kinh doanh bất động sản theo quy định của pháp luật về đất đai không phân biệt có hay không có kết cấu hạ tầng, công trình kiến trúc gắn liền với đất; Thu nhập từ chuyển nhượng nhà, công trình xây dựng gắn liền với đất, kể cả các tài sản gắn liền với nhà, công trình xây dựng đó nếu không tách riêng giá trị tài sản khi chuyển nhượng không phân biệt có hay không có chuyển nhượng quyền sử dụng đất, chuyển nhượng quyền thuê đất; Thu nhập từ chuyển nhượng các tài sản gắn liền với đất; Thu nhập từ chuyển nhượng quyền sở hữu hoặc quyền sử dụng nhà ở, </w:t>
      </w:r>
      <w:r w:rsidRPr="006432AE">
        <w:rPr>
          <w:rFonts w:ascii="Arial" w:eastAsia="Times New Roman" w:hAnsi="Arial" w:cs="Arial"/>
          <w:b/>
          <w:bCs/>
          <w:color w:val="333333"/>
          <w:sz w:val="20"/>
          <w:szCs w:val="20"/>
        </w:rPr>
        <w:t>cơ sở hạ tầng, công trình kiến trúc trên đất</w:t>
      </w:r>
      <w:r w:rsidRPr="006432AE">
        <w:rPr>
          <w:rFonts w:ascii="Arial" w:eastAsia="Times New Roman" w:hAnsi="Arial" w:cs="Arial"/>
          <w:color w:val="333333"/>
          <w:sz w:val="20"/>
          <w:szCs w:val="20"/>
        </w:rPr>
        <w: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Thu nhập từ cho thuê lại đất của doanh nghiệp kinh doanh bất động sản không bao gồm trường hợp doanh nghiệp chỉ cho thuê nhà, cơ sở hạ tầng, công trình kiến trúc trên đất.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            Điều 15. Căn cứ tính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Căn cứ tính thuế thu nhập từ chuyển nhượng bất động sản là thu nhập tính thuế và thuế suất.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Thu nhập tính thuế bằng (=) thu nhập chịu thuế trừ (-) các khoản lỗ của hoạt động chuyển nhượng bất động sản của các năm trước (nếu có).</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1. Thu nhập chịu thuế.</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Thu nhập chịu thuế từ chuyển nhượng bất động sản được xác định bằng doanh thu thu được từ hoạt động chuyển nhượng bất động sản trừ (-) giá vốn của bất động sản và các khoản chi phí được trừ liên quan đến hoạt động chuyển nhượng bất động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1.1. Doanh thu từ hoạt động chuyển nhượng bất động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a) Doanh thu từ hoạt động chuyển nhượng bất động sản được xác định theo giá thực tế chuyển nhượng bất động sản theo hợp đồng chuyển nhượng, mua bán bất động sản phù hợp với quy định của pháp luật (bao gồm cả các khoản phụ thu và phí thu thêm nếu có).</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            Trường hợp giá chuyển quyền sử dụng đất theo hợp đồng chuyển nhượng, mua bán bất động sản thấp hơn giá đất tại bảng giá đất do Ủy ban nhân dân tỉnh, thành phố trực thuộc Trung ương quy định tại thời điểm ký hợp đồng chuyển nhượng bất động sản thì tính theo giá đất do Ủy ban nhân dân tỉnh, thành phố trực thuộc Trung ương quy định tại thời điểm ký hợp đồng chuyển nhượng bất động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Thời điểm xác định doanh thu tính thuế là thời điểm bên bán bàn giao bất động sản cho bên mua, không phụ thuộc việc bên mua đã đăng ký quyền sở hữu tài sản, quyền sử dụng đất, xác lập quyền sử dụng đất tại cơ quan nhà nước có thẩm quyền.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Trường hợp doanh nghiệp thực hiện dự án đầu tư cơ sở hạ tầng, nhà để chuyển nhượng hoặc cho thuê, có thu tiền ứng trước của khách hàng theo tiến độ dưới mọi hình thức thì thời điểm xác định doanh thu tính thuế thu nhập doanh nghiệp tạm nộp là thời điểm thu tiền của khách hàng, cụ thể:</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Trường hợp doanh nghiệp có thu tiền của khách hàng mà xác định được chi phí tương ứng với doanh thu đã ghi nhận (bao gồm cả chi phí trích trước của phần dự toán hạng mục công trình chưa hoàn thành tương ứng với doanh thu đã ghi nhận) thì doanh nghiệp kê khai nộp thuế thu nhập doanh nghiệp theo doanh thu trừ chi phí.</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Trường hợp doanh nghiệp có thu tiền của khách hàng mà chưa xác định được chi phí tương ứng với doanh thu thì doanh nghiệp kê khai tạm nộp thuế thu nhập doanh nghiệp theo tỷ lệ 1% trên doanh thu thu được tiền và doanh thu này chưa phải tính vào doanh thu tính thuế thu nhập doanh nghiệp trong năm.</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Khi bàn giao bất động sản doanh nghiệp phải thực hiện quyết toán thuế thu nhập doanh nghiệp và quyết toán lại số thuế thu nhập doanh nghiệp phải nộp. Trường hợp số thuế thu nhập doanh nghiệp đã tạm nộp thấp hơn số thuế thu nhập doanh nghiệp phải nộp thì doanh nghiệp phải nộp đủ số thuế còn thiếu vào Ngân sách Nhà nước. Trường hợp số thuế thu nhập doanh nghiệp đã tạm nộp lớn hơn số thuế phải nộp thì doanh nghiệp được trừ số thuế nộp thừa vào số thuế thu nhập doanh nghiệp phải nộp của kỳ tiếp theo hoặc được hoàn lại số thuế đã nộp thừa.</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Đối với doanh nghiệp kinh doanh bất động sản có thu tiền ứng trước của khách hàng theo tiến độ và kê khai tạm nộp thuế theo tỷ lệ % trên doanh thu thu được tiền, doanh thu này chưa phải tính vào doanh thu tính thuế thu nhập doanh nghiệp trong năm đồng thời có phát sinh chi phí quảng cáo, tiếp thị, khuyến mại, hoa hồng môi giới khi bắt đầu chào bán vào năm phát sinh doanh thu thu tiền theo tiến độ thì chưa tính các khoản chi phí này vào năm phát sinh chi phí. Các khoản chi phí quảng cáo, tiếp thị, khuyến mại, hoa hồng môi giới này được tính vào chi phí được trừ theo mức khống chế theo quy định vào năm đầu tiên bàn giao bất động sản, phát sinh doanh thu tính thuế thu nhập doanh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b) Doanh thu để tính thu nhập chịu thuế trong một số trường hợp được xác định như sau: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Trường hợp doanh nghiệp có cho thuê lại đất thì doanh thu để tính thu nhập chịu thuế là số tiền bên thuê trả từng kỳ theo hợp đồng thuê. Trường hợp bên thuê trả tiền thuê trước cho nhiều năm thì doanh thu để tính thu nhập chịu thuế được phân bổ cho số năm trả tiền trước hoặc được xác định theo doanh thu trả tiền một lần. Việc chọn hình thức doanh thu trả tiền một lần chỉ được xác định khi doanh nghiệp đã đảm bảo hoàn thành các trách nhiệm tài chính đối với Nhà nước, đảm bảo các nghĩa vụ đối với các bên thuê lại đất cho hết thời hạn cho thuê lại đất.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đang trong thời gian hưởng ưu đãi thuế thu nhập doanh nghiệp lựa chọn phương pháp xác định doanh thu để tính thu nhập chịu thuế là toàn bộ số tiền thuê bên thuê trả trước cho nhiều năm thì việc xác định số thuế thu nhập doanh nghiệp từng năm miễn thuế, giảm thuế căn cứ vào tổng số thuế thu nhập doanh nghiệp của số năm trả tiền trước chia (:) số năm bên thuê trả tiền trước.</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Trường hợp tổ chức tín dụng nhận giá trị quyền sử dụng đất bảo đảm tiền vay để thay thế cho việc thực hiện nghĩa vụ được bảo đảm nếu có chuyển quyền sử dụng đất là tài sản thế chấp bảo đảm tiền vay thì doanh thu để tính thu nhập chịu thuế là giá chuyển nhượng quyền sử dụng đất do các bên thỏa thuận.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Trường hợp chuyển quyền sử dụng đất là tài sản kê biên bảo đảm thi hành án thì doanh thu để tính thu nhập chịu thuế là giá chuyển nhượng quyền sử dụng đất do các bên đương sự thỏa thuận hoặc giá do Hội đồng định giá xác định.</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            Việc xác định doanh thu đối với các trường hợp nêu tại tiết b phải đảm bảo các nguyên tắc nêu tại tiết a điểm này.</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1.2. Chi phí chuyển nhượng bất động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a) Nguyên tắc xác định chi phí:</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Các khoản chi được trừ để xác định thu nhập chịu thuế của hoạt động chuyển nhượng bất động sản trong kỳ tính thuế phải tương ứng với doanh thu để tính thu nhập chịu thuế và phải đảm bảo các điều kiện quy định các khoản chi được trừ và không thuộc các khoản chi không được trừ quy định tại Điều 6 Thông tư này.</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Trường hợp dự án đầu tư hoàn thành từng phần và chuyển nhượng dần theo tiến độ hoàn thành thì các khoản chi phí chung sử dụng cho dự án, chi phí trực tiếp sử dụng cho phần dự án đã hoàn thành được phân bổ theo m</w:t>
      </w:r>
      <w:r w:rsidRPr="006432AE">
        <w:rPr>
          <w:rFonts w:ascii="Arial" w:eastAsia="Times New Roman" w:hAnsi="Arial" w:cs="Arial"/>
          <w:color w:val="333333"/>
          <w:sz w:val="20"/>
          <w:szCs w:val="20"/>
          <w:vertAlign w:val="superscript"/>
        </w:rPr>
        <w:t>2</w:t>
      </w:r>
      <w:r w:rsidRPr="006432AE">
        <w:rPr>
          <w:rFonts w:ascii="Arial" w:eastAsia="Times New Roman" w:hAnsi="Arial" w:cs="Arial"/>
          <w:color w:val="333333"/>
          <w:sz w:val="20"/>
          <w:szCs w:val="20"/>
        </w:rPr>
        <w:t> đất chuyển quyền để xác định thu nhập chịu thuế của diện tích đất chuyển quyền; bao gồm: Chi phí đường giao thông nội bộ; khuôn viên cây xanh; chi phí đầu tư xây dựng hệ thống cấp, thoát nước; trạm biến thế điện; chi phí bồi thường về tài sản trên đất; Chi phí bồi thường, hỗ trợ, tái định cư và kinh phí tổ chức thực hiện bồi thường giải phóng mặt bằng được cấp có thẩm quyền phê duyệt còn lại chưa được trừ vào tiền sử dụng đất, tiền thuê đất theo quy định của chính sách thu tiền sử dụng đất, thu tiền thuê đất, tiền sử dụng đất, tiền thuê đất phải nộp Ngân sách Nhà nước, các chi phí khác đầu tư trên đất liên quan đến chuyển quyền sử dụng đất, chuyển quyền thuê đất.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Việc phân bổ các chi phí trên được thực hiện theo công thức sau: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p>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82"/>
        <w:gridCol w:w="403"/>
        <w:gridCol w:w="4022"/>
        <w:gridCol w:w="316"/>
        <w:gridCol w:w="2333"/>
      </w:tblGrid>
      <w:tr w:rsidR="006432AE" w:rsidRPr="006432AE" w:rsidTr="006432AE">
        <w:trPr>
          <w:trHeight w:val="510"/>
          <w:jc w:val="center"/>
        </w:trPr>
        <w:tc>
          <w:tcPr>
            <w:tcW w:w="201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Chi phí phân bổ cho diện tích đất đã chuyển nhượng</w:t>
            </w:r>
          </w:p>
        </w:tc>
        <w:tc>
          <w:tcPr>
            <w:tcW w:w="405"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p>
          <w:p w:rsidR="006432AE" w:rsidRPr="006432AE" w:rsidRDefault="006432AE" w:rsidP="006432AE">
            <w:pPr>
              <w:spacing w:before="180"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w:t>
            </w:r>
          </w:p>
        </w:tc>
        <w:tc>
          <w:tcPr>
            <w:tcW w:w="4110" w:type="dxa"/>
            <w:tcBorders>
              <w:top w:val="nil"/>
              <w:left w:val="nil"/>
              <w:bottom w:val="single" w:sz="8" w:space="0" w:color="auto"/>
              <w:right w:val="nil"/>
            </w:tcBorders>
            <w:tcMar>
              <w:top w:w="0" w:type="dxa"/>
              <w:left w:w="108" w:type="dxa"/>
              <w:bottom w:w="0" w:type="dxa"/>
              <w:right w:w="108" w:type="dxa"/>
            </w:tcMa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Tổng chi phí đầu tư kết cấu hạ tầng</w:t>
            </w:r>
          </w:p>
        </w:tc>
        <w:tc>
          <w:tcPr>
            <w:tcW w:w="285"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p>
          <w:p w:rsidR="006432AE" w:rsidRPr="006432AE" w:rsidRDefault="006432AE" w:rsidP="006432AE">
            <w:pPr>
              <w:spacing w:before="180"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x</w:t>
            </w:r>
          </w:p>
        </w:tc>
        <w:tc>
          <w:tcPr>
            <w:tcW w:w="237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p>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Diện tích đất đã chuyển nhượng</w:t>
            </w:r>
          </w:p>
        </w:tc>
      </w:tr>
      <w:tr w:rsidR="006432AE" w:rsidRPr="006432AE" w:rsidTr="006432AE">
        <w:trPr>
          <w:trHeight w:val="525"/>
          <w:jc w:val="center"/>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4110" w:type="dxa"/>
            <w:tcBorders>
              <w:top w:val="nil"/>
              <w:left w:val="nil"/>
              <w:bottom w:val="nil"/>
              <w:right w:val="nil"/>
            </w:tcBorders>
            <w:tcMar>
              <w:top w:w="0" w:type="dxa"/>
              <w:left w:w="108" w:type="dxa"/>
              <w:bottom w:w="0" w:type="dxa"/>
              <w:right w:w="108" w:type="dxa"/>
            </w:tcMar>
            <w:hideMark/>
          </w:tcPr>
          <w:p w:rsidR="006432AE" w:rsidRPr="006432AE" w:rsidRDefault="006432AE" w:rsidP="006432AE">
            <w:pPr>
              <w:spacing w:before="100" w:beforeAutospacing="1" w:after="0"/>
              <w:jc w:val="both"/>
              <w:rPr>
                <w:rFonts w:ascii="Arial" w:eastAsia="Times New Roman" w:hAnsi="Arial" w:cs="Arial"/>
                <w:color w:val="333333"/>
                <w:sz w:val="20"/>
                <w:szCs w:val="20"/>
              </w:rPr>
            </w:pPr>
            <w:r w:rsidRPr="006432AE">
              <w:rPr>
                <w:rFonts w:ascii="Arial" w:eastAsia="Times New Roman" w:hAnsi="Arial" w:cs="Arial"/>
                <w:color w:val="333333"/>
                <w:sz w:val="20"/>
                <w:szCs w:val="20"/>
              </w:rPr>
              <w:t>Tổng diện tích đất được giao dự án (trừ diện tích đất sử dụng vào mục đích công cộng theo quy định của pháp luật về đất)</w:t>
            </w: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r>
    </w:tbl>
    <w:p w:rsidR="006432AE" w:rsidRPr="006432AE" w:rsidRDefault="006432AE" w:rsidP="006432AE">
      <w:pPr>
        <w:spacing w:before="0" w:after="0"/>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một phần diện tích của dự án không chuyển nhượng được sử dụng vào hoạt động kinh doanh khác thì các khoản chi phí chung nêu trên cũng phân bổ cho cả phần diện tích này để theo dõi, hạch toán, kê khai nộp thuế thu nhập doanh nghiệp đối với hoạt động kinh doanh khác.</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có hoạt động đầu tư xây dựng cơ sở hạ tầng kéo dài trong nhiều năm và chỉ quyết toán giá trị kết cấu hạ tầng khi toàn bộ công việc hoàn tất thì khi tổng hợp chi phí chuyển nhượng bất động sản cho phần diện tích đất đã chuyển quyền, doanh nghiệp được tạm phân bổ chi phí đầu tư kết cấu hạ tầng thực tế đã phát sinh theo tỷ lệ diện tích đất đã chuyển quyền theo công thức nêu trên và trích trước các khoản chi phí đầu tư xây dựng cơ sở hạ tầng tương ứng với doanh thu đã ghi nhận khi xác định thu nhập chịu thuế. Sau khi hoàn tất quá trình đầu tư xây dựng, doanh nghiệp tính toán, điều chỉnh lại phần chi phí đầu tư kết cấu hạ tầng đã tạm phân bổ và trích trước cho phần diện tích đã chuyển quyền cho phù hợp với tổng giá trị kết cấu hạ tầng. Trường hợp khi điều chỉnh lại phát sinh số thuế nộp thừa so với số thuế thu nhập từ chuyển nhượng bất động sản phải nộp thì doanh nghiệp được trừ số thuế nộp thừa vào số thuế phải nộp của kỳ tính thuế tiếp theo hoặc được hoàn trả theo quy định hiện hành; nếu số thuế đã nộp chưa đủ thì doanh nghiệp có trách nhiệm nộp đủ số thuế còn thiếu theo quy định.</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b) Chi phí chuyển nhượng bất động sản được trừ bao gồm:</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Giá vốn của đất chuyển quyền được xác định phù hợp với nguồn gốc quyền sử dụng đất, cụ thể như sau: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Đối với đất Nhà nước giao có thu tiền sử dụng đất, thu tiền cho thuê đất thì giá vốn là số tiền sử dụng đất, số tiền cho thuê đất thực nộp Ngân sách Nhà nước;</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            + Đối với đất nhận quyền sử dụng của tổ chức, cá nhân khác thì căn cứ vào hợp đồng và chứng từ trả tiền hợp pháp khi nhận quyền sử dụng đất, quyền thuê đất; trường hợp không có hợp đồng và chứng từ trả tiền hợp pháp thì giá vốn được tính theo giá do Ủy ban nhân dân tỉnh, thành phố trực thuộc Trung ương quy định tại thời điểm doanh nghiệp nhận chuyển nhượng bất động sản.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Đối với đất có nguồn gốc do góp vốn thì giá vốn là giá trị quyền sử dụng đất, quyền thuê đất theo biên bản định giá tài sản khi góp vốn;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Trường hợp doanh nghiệp đổi công trình lấy đất của Nhà nước thì giá vốn được xác định theo giá trị công trình đã đổi, trừ trường hợp thực hiện theo quy định riêng của cơ quan nhà nước có thẩm quyền.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Giá trúng đấu giá trong trường hợp đấu giá quyền sử dụng đất, quyền thuê đất;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Đối với đất của doanh nghiệp có nguồn gốc do thừa kế theo pháp luật dân sự; do được cho, biếu, tặng mà không xác định được giá vốn thì xác định theo giá các loại đất do Ủy ban nhân dân tỉnh, thành phố trực thuộc Trung ương quyết định căn cứ vào Bảng khung giá các loại đất do Chính phủ quy định tại thời điểm thừa kế, cho, biếu, tặng.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Đối với đất thế chấp bảo đảm tiền vay, đất là tài sản kê biên để bảo đảm thi hành án thì giá vốn đất được xác định tùy theo từng trường hợp cụ thể theo hướng dẫn tại các điểm nêu trên.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Chi phí đền bù thiệt hại về đất.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Chi phí đền bù thiệt hại về hoa màu.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Chi phí bồi thường, hỗ trợ, tái định cư và chi phí tổ chức thực hiện bồi thường, hỗ trợ, tái định cư theo </w:t>
      </w:r>
      <w:r w:rsidRPr="006432AE">
        <w:rPr>
          <w:rFonts w:ascii="Arial" w:eastAsia="Times New Roman" w:hAnsi="Arial" w:cs="Arial"/>
          <w:b/>
          <w:bCs/>
          <w:color w:val="333333"/>
          <w:sz w:val="20"/>
          <w:szCs w:val="20"/>
        </w:rPr>
        <w:t>thực tế phát sinh, có đủ hóa đơn, chứng từ.</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Các khoản chi phí bồi thường, đền bù, hỗ trợ, tái định cư và chi phí tổ chức thực hiện bồi thường, hỗ trợ, tái định cư nêu trên nếu không có hóa đơn thì được lập Bảng kê ghi rõ: tên; địa chỉ của người nhận; số tiền đền bù, hỗ trợ; chữ ký của người nhận tiền và được chính quyền phường, xã nơi có đất được đền bù, hỗ trợ xác nhận.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Các loại phí, lệ phí theo quy định của pháp luật liên quan đến cấp quyền sử dụng đất.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Chi phí cải tạo đất, san lấp mặt bằng.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Chi phí đầu tư xây dựng kết cấu hạ tầng như đường giao thông, điện, cấp nước, thoát nước, bưu chính viễn thông...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Giá trị kết cấu hạ tầng, công trình kiến trúc có trên đất.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Các khoản chi phí khác liên quan đến bất động sản được chuyển nhượng.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doanh nghiệp có hoạt động kinh doanh nhiều ngành nghề khác nhau thì phải hạch toán riêng các khoản chi phí. Trường hợp không hạch toán riêng được chi phí của từng hoạt động thì chi phí chung được phân bổ theo tỷ lệ giữa doanh thu từ chuyển nhượng bất động sản so với tổng doanh thu của doanh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Không được tính vào chi phí chuyển nhượng bất động sản các khoản chi phí đã được Nhà nước thanh toán hoặc thanh toán bằng nguồn vốn khác.</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2. Thuế suất thuế thu nhập doanh nghiệp đối với hoạt động chuyển nhượng bất động sản là 20%.</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3. Xác định số thuế thu nhập doanh nghiệp phải nộp: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Số thuế thu nhập doanh nghiệp trong kỳ tính thuế đối với hoạt động chuyển nhượng bất động sản bằng thu nhập tính thuế từ hoạt động chuyển nhượng bất động sản nhân (x) với thuế suất 20%.</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            Thu nhập từ chuyển nhượng bất động sản phải xác định riêng để kê khai nộp thuế và không áp dụng ưu đãi thuế thu nhập doanh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4. Trường hợp tổ chức tín dụng, </w:t>
      </w:r>
      <w:r w:rsidRPr="006432AE">
        <w:rPr>
          <w:rFonts w:ascii="Arial" w:eastAsia="Times New Roman" w:hAnsi="Arial" w:cs="Arial"/>
          <w:b/>
          <w:bCs/>
          <w:color w:val="333333"/>
          <w:sz w:val="20"/>
          <w:szCs w:val="20"/>
        </w:rPr>
        <w:t>Công ty TNHH mua bán nợ Việt Nam (DATC), Công ty TNHH MTV quản lý tài sản của các tổ chức tín dụng Việt Nam (VAMC)</w:t>
      </w:r>
      <w:r w:rsidRPr="006432AE">
        <w:rPr>
          <w:rFonts w:ascii="Arial" w:eastAsia="Times New Roman" w:hAnsi="Arial" w:cs="Arial"/>
          <w:color w:val="333333"/>
          <w:sz w:val="20"/>
          <w:szCs w:val="20"/>
        </w:rPr>
        <w:t> nhận giá trị bất động sản là tài sản bảo đảm tiền vay để thay thế cho việc thực hiện nghĩa vụ được bảo đảm thì tổ chức tín dụng, </w:t>
      </w:r>
      <w:r w:rsidRPr="006432AE">
        <w:rPr>
          <w:rFonts w:ascii="Arial" w:eastAsia="Times New Roman" w:hAnsi="Arial" w:cs="Arial"/>
          <w:b/>
          <w:bCs/>
          <w:color w:val="333333"/>
          <w:sz w:val="20"/>
          <w:szCs w:val="20"/>
        </w:rPr>
        <w:t>Công ty TNHH mua bán nợ Việt Nam (DATC), Công ty TNHH MTV quản lý tài sản của các tổ chức tín dụng Việt Nam (VAMC)</w:t>
      </w:r>
      <w:r w:rsidRPr="006432AE">
        <w:rPr>
          <w:rFonts w:ascii="Arial" w:eastAsia="Times New Roman" w:hAnsi="Arial" w:cs="Arial"/>
          <w:color w:val="333333"/>
          <w:sz w:val="20"/>
          <w:szCs w:val="20"/>
        </w:rPr>
        <w:t> khi được phép chuyển nhượng bất động sản theo quy định của pháp luật phải kê khai nộp thuế thu nhập từ hoạt động chuyển nhượng bất động sản vào Ngân sách Nhà nước. Trường hợp bán đấu giá bất động sản là tài sản bảo đảm tiền vay thì số tiền thu được thực hiện thanh toán theo quy định của Chính phủ về bảo đảm tiền vay của các tổ chức tín dụng và kê khai nộp thuế theo quy định. Sau khi thanh toán các khoản trên, số tiền còn lại được trả cho các tổ chức kinh doanh đã thế chấp bất động sản để bảo đảm tiền vay.</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tổ chức tín dụng, </w:t>
      </w:r>
      <w:r w:rsidRPr="006432AE">
        <w:rPr>
          <w:rFonts w:ascii="Arial" w:eastAsia="Times New Roman" w:hAnsi="Arial" w:cs="Arial"/>
          <w:b/>
          <w:bCs/>
          <w:color w:val="333333"/>
          <w:sz w:val="20"/>
          <w:szCs w:val="20"/>
        </w:rPr>
        <w:t>Công ty TNHH mua bán nợ Việt Nam (DATC), Công ty TNHH MTV quản lý tài sản của các tổ chức tín dụng Việt Nam (VAMC)</w:t>
      </w:r>
      <w:r w:rsidRPr="006432AE">
        <w:rPr>
          <w:rFonts w:ascii="Arial" w:eastAsia="Times New Roman" w:hAnsi="Arial" w:cs="Arial"/>
          <w:color w:val="333333"/>
          <w:sz w:val="20"/>
          <w:szCs w:val="20"/>
        </w:rPr>
        <w:t> được phép chuyển nhượng bất động sản đã được thế chấp theo quy định của pháp luật để thu hồi vốn nếu không xác định được giá vốn của bất động sản thì giá vốn được xác định bằng (=) vốn vay phải trả theo hợp đồng thế chấp bất động sản cộng (+) chi phí lãi vay chưa trả đến thời điểm phát mãi bất động sản thế chấp theo hợp đồng tín dụng cộng (+) các khoản chi phí phát sinh khi chuyển nhượng bất động sản nếu có hóa đơn, chứng từ hợp pháp.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5. Trường hợp cơ quan thi hành án </w:t>
      </w:r>
      <w:r w:rsidRPr="006432AE">
        <w:rPr>
          <w:rFonts w:ascii="Arial" w:eastAsia="Times New Roman" w:hAnsi="Arial" w:cs="Arial"/>
          <w:b/>
          <w:bCs/>
          <w:color w:val="333333"/>
          <w:sz w:val="20"/>
          <w:szCs w:val="20"/>
        </w:rPr>
        <w:t>hoặc tổ chức có thẩm quyền</w:t>
      </w:r>
      <w:r w:rsidRPr="006432AE">
        <w:rPr>
          <w:rFonts w:ascii="Arial" w:eastAsia="Times New Roman" w:hAnsi="Arial" w:cs="Arial"/>
          <w:color w:val="333333"/>
          <w:sz w:val="20"/>
          <w:szCs w:val="20"/>
        </w:rPr>
        <w:t> bán đấu giá bất động sản là tài sản bảo đảm thi hành án thì số tiền thu được thực hiện theo quy định tại Nghị định của Chính phủ về kê biên, đấu giá quyền sử dụng đất để bảo đảm thi hành án. Tổ chức được ủy quyền bán đấu giá bất động sản thực hiện kê khai, khấu trừ tiền thuế thu nhập từ chuyển nhượng bất động sản nộp vào Ngân sách Nhà nước. Trên các chứng từ ghi rõ kê khai, nộp thuế thay về bán tài sản đảm bảo thi hành án.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Trường hợp cơ quan thi hành án </w:t>
      </w:r>
      <w:r w:rsidRPr="006432AE">
        <w:rPr>
          <w:rFonts w:ascii="Arial" w:eastAsia="Times New Roman" w:hAnsi="Arial" w:cs="Arial"/>
          <w:b/>
          <w:bCs/>
          <w:color w:val="333333"/>
          <w:sz w:val="20"/>
          <w:szCs w:val="20"/>
        </w:rPr>
        <w:t>hoặc tổ chức có thẩm quyền</w:t>
      </w:r>
      <w:r w:rsidRPr="006432AE">
        <w:rPr>
          <w:rFonts w:ascii="Arial" w:eastAsia="Times New Roman" w:hAnsi="Arial" w:cs="Arial"/>
          <w:color w:val="333333"/>
          <w:sz w:val="20"/>
          <w:szCs w:val="20"/>
        </w:rPr>
        <w:t> chuyển nhượng bất động sản là tài sản đảm bảo thi hành án nếu không xác định được giá vốn của bất động sản thì giá vốn được xác định bằng (=) số tiền nợ phải trả nợ theo quyết định của Tòa án </w:t>
      </w:r>
      <w:r w:rsidRPr="006432AE">
        <w:rPr>
          <w:rFonts w:ascii="Arial" w:eastAsia="Times New Roman" w:hAnsi="Arial" w:cs="Arial"/>
          <w:b/>
          <w:bCs/>
          <w:color w:val="333333"/>
          <w:sz w:val="20"/>
          <w:szCs w:val="20"/>
        </w:rPr>
        <w:t>hoặc cơ quan có thẩm quyền</w:t>
      </w:r>
      <w:r w:rsidRPr="006432AE">
        <w:rPr>
          <w:rFonts w:ascii="Arial" w:eastAsia="Times New Roman" w:hAnsi="Arial" w:cs="Arial"/>
          <w:color w:val="333333"/>
          <w:sz w:val="20"/>
          <w:szCs w:val="20"/>
        </w:rPr>
        <w:t> để thi hành án cộng (+) các khoản chi phí phát sinh khi chuyển nhượng bất động sản nếu có hóa đơn chứng từ hợp pháp.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Chương V</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ƯU ĐÃI THUẾ THU NHẬP DOANH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   Điều 16. Nguyên tắc, đối tượng áp dụng</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ưu đãi thuế thu nhập doanh nghiệp</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Doanh nghiệp được hưởng ưu đãi thuế thu nhập doanh nghiệp theo ngành, nghề ưu đãi thuế thu nhập doanh nghiệp, địa bàn ưu đãi thuế thu nhập doanh nghiệp quy định tại Điều này. Mức ưu đãi thuế thu nhập doanh nghiệp thực hiện theo quy định tại Điều 17, Điều 18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Nghị định khác của Chính phủ có quy định về ưu đãi thuế thu nhập doanh nghiệp khác với quy định của Nghị định này thì thực hiện theo quy định của Nghị định này, trừ Nghị định quy định chi tiết Luật Thủ đô và các văn bản hướng dẫn các Nghị quyết quy định cơ chế, chính sách đặc biệt, đặc thù của Quốc hội.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Ngành, nghề ưu đãi thuế thu nhập doanh nghiệp bao gồm các trường hợp sau:</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a) Ứng dụng công nghệ cao, đầu tư mạo hiểm cho phát triển công nghệ cao thuộc danh mục công nghệ cao được ưu tiên đầu tư phát triển theo quy định của Luật Công nghệ cao; ứng dụng công nghệ chiến lược theo quy định của pháp luật về khoa học công nghệ và đổi mới sáng tạo; ươm tạo </w:t>
      </w:r>
      <w:r w:rsidRPr="006432AE">
        <w:rPr>
          <w:rFonts w:ascii="Arial" w:eastAsia="Times New Roman" w:hAnsi="Arial" w:cs="Arial"/>
          <w:color w:val="333333"/>
          <w:sz w:val="20"/>
          <w:szCs w:val="20"/>
        </w:rPr>
        <w:lastRenderedPageBreak/>
        <w:t>công nghệ cao, ươm tạo doanh nghiệp công nghệ cao; đầu tư xây dựng - kinh doanh cơ sở ươm tạo công nghệ cao, ươm tạo doanh nghiệp công nghệ cao.</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Sản xuất sản phẩm phần mềm; sản xuất sản phẩm an toàn thông tin mạng và cung cấp dịch vụ an toàn thông tin mạng đảm bảo các điều kiện theo quy định của pháp luật về an toàn thông tin mạng; sản xuất sản phẩm, cung cấp dịch vụ công nghệ số trọng điểm, sản xuất thiết bị điện tử theo quy định của pháp luật về công nghiệp công nghệ số; nghiên cứu và phát triển, thiết kế, sản xuất, đóng gói, kiểm thử sản phẩm chip bán dẫn; xây dựng trung tâm dữ liệu trí tuệ nhân tạo theo quy định của pháp luật về công nghiệp công nghệ số;</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Sản xuất sản phẩm công nghiệp hỗ trợ thuộc Danh mục sản phẩm công nghiệp hỗ trợ ưu tiên phát triển do Chính phủ quy định đáp ứng một trong các tiêu chí sau đây: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c1) Sản phẩm công nghiệp hỗ trợ cho công nghệ cao theo quy định của Luật Công nghệ cao;</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c2) Sản phẩm công nghiệp hỗ trợ cho sản xuất sản phẩm các ngành dệt - may, da - giầy, điện tử - tin học (bao gồm cả thiết kế, sản xuất bán dẫn), sản xuất lắp ráp ô tô, cơ khí chế tạo đến ngày Luật Thuế thu nhập doanh nghiệp (sửa đổi) có hiệu lực thi hành (ngày 01 tháng 10 năm 2025) mà trong nước chưa sản xuất được hoặc đã sản xuất được nhưng phải đáp ứng tiêu chuẩn kỹ thuật của Liên minh Châu Âu hoặc tương đương (nếu có) theo hướng dẫn của Bộ trưởng Bộ Công Thương;</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d) Sản xuất năng lượng tái tạo, năng lượng sạch, năng lượng từ việc tiêu hủy chất thải; bảo vệ môi trường; sản xuất vật liệu composit, các loại vật liệu xây dựng nhẹ, vật liệu quý hiếm; sản xuất quốc phòng, an ninh và sản xuất sản phẩm động viên công nghiệp theo quy định của pháp luật về công nghiệp quốc phòng, an ninh và động viên công nghiệp; sản xuất sản phẩm công nghiệp hóa chất trọng điểm và sản phẩm cơ khí trọng điểm theo quy định của pháp luật về hóa chất, pháp luật về cơ khí.</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 Đầu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e) Doanh nghiệp công nghệ cao, doanh nghiệp nông nghiệp ứng dụng công nghệ cao theo quy định của Luật Công nghệ cao; doanh nghiệp khoa học và công nghệ theo quy định của Luật Khoa học công nghệ và đổi mới sáng tạo.</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 Dự án đầu tư trong lĩnh vực sản xuất đáp ứng các điều kiện sau đây: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g1) Có quy mô vốn đầu tư tối thiểu 12.000 tỷ đồng và thực hiện giải ngân tổng vốn đầu tư đăng ký không quá 05 năm kể từ ngày được phép đầu tư theo quy định của pháp luật về đầu tư;</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g2) Sử dụng công nghệ đáp ứng yêu cầu theo quy định của Bộ Khoa học và Công nghệ.</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h) Dự án đầu tư thuộc đối tượng ưu đãi và hỗ trợ đầu tư đặc biệt quy định tại khoản 2 Điều 20 Luật Đầu tư.</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i) Trồng, chăm sóc, bảo vệ rừng; sản xuất, nhân và lai tạo giống cây trồng, vật nuôi; đầu tư bảo quản nông sản sau thu hoạch, bảo quản nông sản, thủy sản và thực phẩm; sản xuất, khai thác và tinh chế muối, trừ sản xuất muối quy định tại khoản 1 Điều 4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k) Nuôi trồng lâm sản.</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l) Sản phẩm cây trồng, rừng trồng, chăn nuôi, thủy sản nuôi trồng, chế biến nông sản, thủy sản.</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Thu nhập từ chế biến nông sản, thủy sản quy định tại điểm này phải đáp ứng các điều kiện quy định tại khoản 1 Điều 4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m) Sản xuất thép cao cấp; sản xuất sản phẩm tiết kiệm năng lượng; sản xuất máy móc, thiết bị phục vụ cho sản xuất nông nghiệp, lâm nghiệp, ngư nghiệp, diêm nghiệp; sản xuất thiết bị tưới tiêu; sản xuất thức ăn gia súc, gia cầm, thủy sản.</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n) Sản xuất, lắp ráp ô tô; sản xuất sản phẩm công nghệ số khác. </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o) Đầu tư kinh doanh cơ sở kỹ thuật hỗ trợ doanh nghiệp nhỏ và vừa, cơ sở ươm tạo doanh nghiệp nhỏ và vừa; đầu tư kinh doanh khu làm việc chung hỗ trợ doanh nghiệp nhỏ và vừa khởi nghiệp sáng tạo theo quy định của Luật Hỗ trợ doanh nghiệp nhỏ và vừa.</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p) Quỹ tín dụng nhân dân, tổ chức tài chính vi mô, ngân hàng hợp tác xã.</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q) Hợp tác xã, liên hiệp hợp tác xã hoạt động trong lĩnh vực nông nghiệp, lâm nghiệp, ngư nghiệp, diêm nghiệp.</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r</w:t>
      </w:r>
      <w:r w:rsidRPr="006432AE">
        <w:rPr>
          <w:rFonts w:ascii="Arial" w:eastAsia="Times New Roman" w:hAnsi="Arial" w:cs="Arial"/>
          <w:strike/>
          <w:color w:val="333333"/>
          <w:sz w:val="20"/>
          <w:szCs w:val="20"/>
        </w:rPr>
        <w:t>)</w:t>
      </w:r>
      <w:r w:rsidRPr="006432AE">
        <w:rPr>
          <w:rFonts w:ascii="Arial" w:eastAsia="Times New Roman" w:hAnsi="Arial" w:cs="Arial"/>
          <w:color w:val="333333"/>
          <w:sz w:val="20"/>
          <w:szCs w:val="20"/>
        </w:rPr>
        <w:t> Xã hội hóa trong các lĩnh vực giáo dục - đào tạo, dạy nghề, y tế, văn hóa, thể thao, môi trường theo Danh mục loại hình, tiêu chí quy mô, tiêu chuẩn do Thủ tướng Chính phủ quy định; giám định tư pháp.</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s) Đầu tư xây dựng nhà ở xã hội để bán, cho thuê, cho thuê mua đối với các đối tượng quy định tại Luật Nhà ở.</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 Xuất bản theo quy định của Luật Xuất bản.</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u) Báo chí (bao gồm cả quảng cáo trên báo) theo quy định của Luật Báo chí.</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Thời gian giải ngân tổng vốn đầu tư của các dự án quy định tại điểm h khoản này không quá 10 năm kể từ </w:t>
      </w:r>
      <w:r w:rsidRPr="006432AE">
        <w:rPr>
          <w:rFonts w:ascii="Arial" w:eastAsia="Times New Roman" w:hAnsi="Arial" w:cs="Arial"/>
          <w:color w:val="333333"/>
          <w:sz w:val="20"/>
          <w:szCs w:val="20"/>
        </w:rPr>
        <w:t>thời điểm cấp Giấy chứng nhận đầu tư hoặc được phép đầu tư theo quy định của pháp luật về đầu tư.</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3. Địa bàn ưu đãi thuế thu nhập doanh nghiệp bao gồm:</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a) Địa bàn có điều kiện kinh tế xã hội đặc biệt khó </w:t>
      </w:r>
      <w:r w:rsidRPr="006432AE">
        <w:rPr>
          <w:rFonts w:ascii="Arial" w:eastAsia="Times New Roman" w:hAnsi="Arial" w:cs="Arial"/>
          <w:b/>
          <w:bCs/>
          <w:color w:val="333333"/>
          <w:sz w:val="20"/>
          <w:szCs w:val="20"/>
        </w:rPr>
        <w:t>khăn theo</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quy định của pháp luật về đầu tư, không bao gồm các khu</w:t>
      </w:r>
      <w:r w:rsidRPr="006432AE">
        <w:rPr>
          <w:rFonts w:ascii="Arial" w:eastAsia="Times New Roman" w:hAnsi="Arial" w:cs="Arial"/>
          <w:color w:val="333333"/>
          <w:sz w:val="20"/>
          <w:szCs w:val="20"/>
        </w:rPr>
        <w: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b) Địa bàn có điều kiện kinh tế xã hội khó khăn </w:t>
      </w:r>
      <w:r w:rsidRPr="006432AE">
        <w:rPr>
          <w:rFonts w:ascii="Arial" w:eastAsia="Times New Roman" w:hAnsi="Arial" w:cs="Arial"/>
          <w:b/>
          <w:bCs/>
          <w:color w:val="333333"/>
          <w:sz w:val="20"/>
          <w:szCs w:val="20"/>
        </w:rPr>
        <w:t>theo quy định của pháp luật về đầu tư, không bao gồm các khu, cụm công nghiệp.</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c) Khu kinh tế, khu công nghệ cao, khu nông nghiệp ứng dụng công nghệ cao, khu công nghệ số tập trung.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Điều 17. Thuế suất ưu đãi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Áp dụng thuế suất 10% trong 15 năm đối với: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Thu nhập của doanh nghiệp từ thực hiện dự án đầu tư mới quy định tại các điểm a, b, c, d, đ; thu nhập của doanh nghiệp quy định tại điểm e khoản 2 </w:t>
      </w:r>
      <w:r w:rsidRPr="006432AE">
        <w:rPr>
          <w:rFonts w:ascii="Arial" w:eastAsia="Times New Roman" w:hAnsi="Arial" w:cs="Arial"/>
          <w:b/>
          <w:bCs/>
          <w:color w:val="333333"/>
          <w:sz w:val="20"/>
          <w:szCs w:val="20"/>
        </w:rPr>
        <w:t>Điều 16 của Nghị định này</w:t>
      </w:r>
      <w:r w:rsidRPr="006432AE">
        <w:rPr>
          <w:rFonts w:ascii="Arial" w:eastAsia="Times New Roman" w:hAnsi="Arial" w:cs="Arial"/>
          <w:color w:val="333333"/>
          <w:sz w:val="20"/>
          <w:szCs w:val="20"/>
        </w:rPr>
        <w:t>.</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Thu nhập của doanh nghiệp từ thực hiện dự án đầu tư quy định tại các điểm g, h khoản 2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Thu nhập của doanh nghiệp từ thực hiện dự án đầu tư mới thuộc địa bàn quy định tại điểm a khoản 3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 Thu nhập của doanh nghiệp từ thực hiện dự án đầu tư mới tại khu công nghệ cao, khu nông nghiệp ứng dụng công nghệ cao, khu công nghệ số tập trung; dự án đầu tư mới tại khu kinh tế nằm trên địa bàn ưu đãi thuế quy định tại các điểm a và b khoản 3 Điều 16 của </w:t>
      </w:r>
      <w:r w:rsidRPr="006432AE">
        <w:rPr>
          <w:rFonts w:ascii="Arial" w:eastAsia="Times New Roman" w:hAnsi="Arial" w:cs="Arial"/>
          <w:b/>
          <w:bCs/>
          <w:color w:val="333333"/>
          <w:sz w:val="20"/>
          <w:szCs w:val="20"/>
        </w:rPr>
        <w:t>Nghị định này, bao gồm cả trường hợp dự án đầu tư mới tại khu kinh tế mà vị trí thực hiện dự án đầu tư mới có trên 50% phần diện tích nằm trên địa bàn ưu đãi thuế quy định tại điểm a, điểm b khoản 3 Điều 16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Áp dụng thuế suất 10% đối với: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a) Thu nhập của doanh nghiệp tại địa bàn ưu đãi thuế quy định tại điểm b khoản 3 Điều 16 của Nghị định này từ hoạt động thuộc ngành, nghề quy định tại các điểm k, l, khoản 2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Thu nhập của doanh nghiệp từ hoạt động thuộc ngành, nghề quy định tại các điểm i, r, s, khoản 2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Thu nhập của nhà xuất bản từ hoạt động thuộc ngành, nghề quy định tại điểm t khoản 2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 Thu nhập của hợp tác xã, liên hiệp hợp tác xã quy định tại điểm q khoản 2 Điều 16 của Nghị này không thuộc địa bàn quy định tại khoản 3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 Thu nhập của cơ quan báo chí thuộc ngành, nghề quy định tại điểm u khoản 2 Điều 16 của Nghị định này.</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3. Áp dụng thuế suất 15% đối với thu nhập của doanh nghiệp không thuộc địa bàn quy định tại khoản 3 Điều 16 của Nghị định này từ hoạt động thuộc ngành, nghề quy định tại điểm l khoản 2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Áp dụng thuế suất 17% trong thời gian 10 năm đối với: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Dự án đầu tư mới thuộc ngành, nghề ưu đãi quy định tại các điểm m, n, o khoản 2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Dự án đầu tư mới thực hiện tại địa bàn quy định tại điểm b khoản 3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Dự án đầu tư mới tại khu kinh tế không nằm trên địa bàn quy định tại các điểm a, b khoản 3 Điều 16 của Nghị định này</w:t>
      </w:r>
      <w:r w:rsidRPr="006432AE">
        <w:rPr>
          <w:rFonts w:ascii="Arial" w:eastAsia="Times New Roman" w:hAnsi="Arial" w:cs="Arial"/>
          <w:b/>
          <w:bCs/>
          <w:color w:val="333333"/>
          <w:sz w:val="20"/>
          <w:szCs w:val="20"/>
        </w:rPr>
        <w:t>, bao gồm cả trường hợp dự án đầu tư mới</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của doanh nghiệp thực hiện tại khu kinh tế mà vị trí thực hiện dự án đầu tư mới</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có trên 50% phần diện tích nằm trên địa bàn không phải là địa bàn ưu đãi thuế</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quy định tại điểm a, điểm b khoản 3 Điều 16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5. Áp dụng thuế suất 17% đối với thu nhập của doanh nghiệp tại điểm p khoản 2 Điều 16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6. Việc kéo dài thời gian và áp dụng thuế suất ưu đãi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Thủ tướng Chính phủ quyết định việc kéo dài thêm thời gian áp dụng thuế suất ưu đãi tối đa không quá 15 năm đối với các trường hợp quy định tại các điểm b, c khoản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Dự án đầu tư mới quy định tại các điểm a, b, d, đ khoản 2 Điều 16 của Nghị định này, có quy mô vốn đầu tư tối thiểu 6.000 tỷ đồng, có ảnh hưởng lớn về kinh tế - xã hội cần đặc biệt khuyến khích.</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Dự án đầu tư quy định tại điểm g khoản 2 Điều 16 của Nghị định này đáp ứng một trong các tiêu chí sau:</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Sản xuất sản phẩm hàng hóa có khả năng cạnh tranh toàn cầu, doanh thu đạt trên 20.000 tỷ đồng/năm chậm nhất sau 05 năm kể từ khi có doanh thu từ dự án đầu tư.</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Sử dụng thường xuyên trên 6.000 lao động được xác định theo quy định của pháp luật về lao động.</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 Đối với dự án đầu tư mới quy định tại các điểm h khoản 2 Điều 16 của Nghị định này, Thủ tướng Chính phủ quyết định việc áp dụng thuế suất </w:t>
      </w:r>
      <w:r w:rsidRPr="006432AE">
        <w:rPr>
          <w:rFonts w:ascii="Arial" w:eastAsia="Times New Roman" w:hAnsi="Arial" w:cs="Arial"/>
          <w:strike/>
          <w:color w:val="333333"/>
          <w:sz w:val="20"/>
          <w:szCs w:val="20"/>
        </w:rPr>
        <w:t>ưu đãi</w:t>
      </w:r>
      <w:r w:rsidRPr="006432AE">
        <w:rPr>
          <w:rFonts w:ascii="Arial" w:eastAsia="Times New Roman" w:hAnsi="Arial" w:cs="Arial"/>
          <w:color w:val="333333"/>
          <w:sz w:val="20"/>
          <w:szCs w:val="20"/>
        </w:rPr>
        <w:t xml:space="preserve"> giảm không quá 50% mức thuế suất quy </w:t>
      </w:r>
      <w:r w:rsidRPr="006432AE">
        <w:rPr>
          <w:rFonts w:ascii="Arial" w:eastAsia="Times New Roman" w:hAnsi="Arial" w:cs="Arial"/>
          <w:color w:val="333333"/>
          <w:sz w:val="20"/>
          <w:szCs w:val="20"/>
        </w:rPr>
        <w:lastRenderedPageBreak/>
        <w:t>định tại khoản 1 Điều này; thời gian áp dụng thuế suất ưu đãi không quá 1,5 lần so với thời gian áp dụng thuế suất ưu đãi quy định tại khoản 1 Điều này và được kéo dài thêm không quá 15 năm nhưng không vượt quá thời hạn của dự án đầu tư.</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7. Thời gian áp dụng thuế suất ưu đãi đối với thu nhập từ thực hiện dự án đầu tư mới của doanh nghiệp quy định tại Điều này (bao gồm cả dự án nêu tại điểm g khoản 2 Điều 16 của Nghị định này) được tính từ năm đầu tiên dự án đầu tư mới của doanh nghiệp có doanh thu.</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được cấp Giấy chứng nhận doanh nghiệp công nghệ cao, Giấy chứng nhận doanh nghiệp nông nghiệp ứng dụng công nghệ cao, Giấy chứng nhận doanh nghiệp khoa học và công nghệ, Giấy chứng nhận dự án ứng dụng công nghệ cao, Giấy xác nhận ưu đãi dự án sản xuất sản phẩm công nghiệp hỗ trợ sau thời điểm phát sinh doanh thu thì thời gian áp dụng thuế suất ưu đãi được tính kể từ năm được cấp Giấy chứng nhận, Giấy xác nhận ưu đãi.</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Điều 18. Miễn thuế, giảm thuế</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Miễn thuế 04 năm và giảm 50% số thuế phải nộp trong 09 năm tiếp theo đối với: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Thu nhập của doanh nghiệp quy định tại khoản 1 Điều 17 của Luật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Thu nhập của doanh nghiệp quy định tại điểm s khoản 2 Điều 16 của Nghị định này thuộc địa bàn quy định tại các điểm a, b khoản 3 Điều 16 của Nghị định này; trường hợp thu nhập của doanh nghiệp quy định tại điểm s khoản 2 Điều 16 của Nghị định này không thuộc địa bàn quy định tại các điểm a, b khoản 3 Điều 17 của Nghị định này được miễn thuế tối đa 04 năm và giảm 50% số thuế phải nộp tối đa không quá 05 năm tiếp theo.</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Miễn thuế 02 năm và giảm 50% số thuế phải nộp trong 04 năm tiếp theo đối với thu nhập của doanh nghiệp quy định tại khoản 4 Điều 17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3. Đối với các dự án đầu tư mới quy định tại các điểm h khoản 2 Điều 16 của Nghị định này, Thủ tướng Chính phủ quyết định kéo dài thời gian miễn thuế, giảm thuế tối đa không quá 1,5 lần thời gian miễn thuế, giảm thuế quy định tại khoản 1 Điều này </w:t>
      </w:r>
      <w:r w:rsidRPr="006432AE">
        <w:rPr>
          <w:rFonts w:ascii="Arial" w:eastAsia="Times New Roman" w:hAnsi="Arial" w:cs="Arial"/>
          <w:b/>
          <w:bCs/>
          <w:color w:val="333333"/>
          <w:sz w:val="20"/>
          <w:szCs w:val="20"/>
        </w:rPr>
        <w:t>và không vượt quá thời hạn của dự án đầu tư</w:t>
      </w:r>
      <w:r w:rsidRPr="006432AE">
        <w:rPr>
          <w:rFonts w:ascii="Arial" w:eastAsia="Times New Roman" w:hAnsi="Arial" w:cs="Arial"/>
          <w:color w:val="333333"/>
          <w:sz w:val="20"/>
          <w:szCs w:val="20"/>
        </w:rPr>
        <w:t>.</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Thời gian miễn thuế, giảm thuế được tính từ năm đầu tiên có thu nhập chịu thuế từ dự án đầu tư, trường hợp không có thu nhập chịu thuế trong 03 năm đầu, kể từ năm đầu tiên có doanh thu từ dự án thì thời gian miễn thuế, giảm thuế được tính từ năm thứ 04.</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Trường hợp doanh nghiệp được cấp Giấy chứng nhận dự án ứng dụng công nghệ cao, Giấy chứng nhận doanh nghiệp công nghệ cao, Giấy chứng nhận doanh nghiệp nông nghiệp ứng dụng công nghệ cao, Giấy chứng nhận doanh nghiệp khoa học và công nghệ, Giấy xác nhận ưu đãi dự án sản xuất sản phẩm công nghiệp hỗ trợ sau thời điểm phát sinh thu nhập thì thời gian miễn thuế, giảm thuế được tính kể từ năm được cấp Giấy chứng nhận, Giấy xác nhận ưu đãi. Trường hợp tại năm cấp Giấy chứng nhận, Giấy xác nhận ưu đãi mà chưa có thu nhập thì thời gian miễn thuế, giảm thuế được tính kể từ năm đầu tiên có thu nhập, nếu trong 03 năm đầu kể từ năm được cấp Giấy chứng nhận, Giấy xác nhận ưu đãi mà doanh nghiệp không có thu nhập chịu thuế thì thời gian miễn thuế, giảm thuế tính từ năm thứ 04 kể từ năm cấp Giấy chứng nhận, Giấy xác nhận ưu đãi.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5. Ưu đãi thuế đối với dự án đầu tư mở rộng.</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Doanh nghiệp có dự án đầu tư đang hoạt động mở rộng quy mô, nâng cao công suất, đổi mới công nghệ, giảm ô nhiễm hoặc cải thiện môi trường thuộc ngành, nghề, địa bàn ưu đãi thuế thu nhập doanh nghiệp quy định tại Điều 16 Nghị định này (sau đây gọi là đầu tư mở rộng) thì phần thu nhập tăng thêm từ đầu tư mở rộng được hưởng ưu đãi thuế theo dự án đang hoạt động cho thời gian còn lại và không phải hạch toán riêng khoản thu nhập tăng thêm từ đầu tư mở rộng với thu nhập từ dự án đang hoạt động.</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b) Trường hợp dự án đang hoạt động đã hết thời gian hưởng ưu đãi thuế thì khoản thu nhập tăng thêm từ dự án đầu tư mở rộng đáp ứng các tiêu chí quy định tại khoản 6 Điều này được miễn thuế, giảm thuế và không được hưởng ưu đãi về thuế suất. Thời gian miễn thuế, giảm thuế đối với thu nhập tăng thêm do đầu tư mở rộng bằng với thời gian miễn thuế, giảm thuế áp dụng đối với dự án đầu tư </w:t>
      </w:r>
      <w:r w:rsidRPr="006432AE">
        <w:rPr>
          <w:rFonts w:ascii="Arial" w:eastAsia="Times New Roman" w:hAnsi="Arial" w:cs="Arial"/>
          <w:color w:val="333333"/>
          <w:sz w:val="20"/>
          <w:szCs w:val="20"/>
        </w:rPr>
        <w:lastRenderedPageBreak/>
        <w:t>mới cùng ngành, nghề, địa bàn ưu đãi thuế thu nhập doanh nghiệp và được tính từ năm dự án đầu tư hoàn thành số vốn đầu tư đã đăng ký.</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Doanh nghiệp phải hạch toán riêng khoản thu nhập tăng thêm từ đầu tư mở rộng để áp dụng ưu đãi. Trường hợp không hạch toán riêng được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6432AE" w:rsidRPr="006432AE" w:rsidRDefault="006432AE" w:rsidP="006432AE">
      <w:pPr>
        <w:spacing w:after="0"/>
        <w:ind w:right="26"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shd w:val="clear" w:color="auto" w:fill="FFFFFF"/>
        </w:rPr>
        <w:t>Trường hợp</w:t>
      </w:r>
      <w:r w:rsidRPr="006432AE">
        <w:rPr>
          <w:rFonts w:ascii="Arial" w:eastAsia="Times New Roman" w:hAnsi="Arial" w:cs="Arial"/>
          <w:b/>
          <w:bCs/>
          <w:color w:val="333333"/>
          <w:sz w:val="20"/>
          <w:szCs w:val="20"/>
        </w:rPr>
        <w:t> trong kỳ tính thuế, doanh nghiệp không tính riêng được thu nhập tăng thêm do đầu tư mở rộng thì thu nhập tăng thêm do đầu tư mở rộng được áp dụng ưu đãi thuế thu nhập doanh nghiệp như sau:</w:t>
      </w:r>
    </w:p>
    <w:tbl>
      <w:tblPr>
        <w:tblW w:w="883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276"/>
        <w:gridCol w:w="569"/>
        <w:gridCol w:w="2456"/>
        <w:gridCol w:w="510"/>
        <w:gridCol w:w="3024"/>
      </w:tblGrid>
      <w:tr w:rsidR="006432AE" w:rsidRPr="006432AE" w:rsidTr="006432AE">
        <w:trPr>
          <w:tblCellSpacing w:w="0" w:type="dxa"/>
        </w:trPr>
        <w:tc>
          <w:tcPr>
            <w:tcW w:w="228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after="0"/>
              <w:ind w:right="26"/>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Phần thu nhập tăng thêm do đầu tư mở rộng được áp dụng ưu đãi thuế thu nhập doanh nghiệp</w:t>
            </w:r>
          </w:p>
        </w:tc>
        <w:tc>
          <w:tcPr>
            <w:tcW w:w="57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after="0"/>
              <w:ind w:right="26"/>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w:t>
            </w:r>
          </w:p>
        </w:tc>
        <w:tc>
          <w:tcPr>
            <w:tcW w:w="246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after="0"/>
              <w:ind w:right="26"/>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Tổng thu nhập chịu thuế trong kỳ tính thuế (không bao gồm thu nhập khác không được hưởng ưu đãi)</w:t>
            </w:r>
          </w:p>
        </w:tc>
        <w:tc>
          <w:tcPr>
            <w:tcW w:w="510" w:type="dxa"/>
            <w:vMerge w:val="restart"/>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after="0"/>
              <w:ind w:right="26"/>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x</w:t>
            </w:r>
          </w:p>
        </w:tc>
        <w:tc>
          <w:tcPr>
            <w:tcW w:w="3030" w:type="dxa"/>
            <w:tcBorders>
              <w:top w:val="nil"/>
              <w:left w:val="nil"/>
              <w:bottom w:val="single" w:sz="8" w:space="0" w:color="auto"/>
              <w:right w:val="nil"/>
            </w:tcBorders>
            <w:tcMar>
              <w:top w:w="0" w:type="dxa"/>
              <w:left w:w="108" w:type="dxa"/>
              <w:bottom w:w="0" w:type="dxa"/>
              <w:right w:w="108" w:type="dxa"/>
            </w:tcMar>
            <w:vAlign w:val="center"/>
            <w:hideMark/>
          </w:tcPr>
          <w:p w:rsidR="006432AE" w:rsidRPr="006432AE" w:rsidRDefault="006432AE" w:rsidP="006432AE">
            <w:pPr>
              <w:spacing w:after="0"/>
              <w:ind w:right="26"/>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Nguyên giá tài sản cố định đầu tư mở rộng đưa vào sử dụng cho sản xuất, kinh doanh</w:t>
            </w:r>
          </w:p>
        </w:tc>
      </w:tr>
      <w:tr w:rsidR="006432AE" w:rsidRPr="006432AE" w:rsidTr="006432AE">
        <w:trPr>
          <w:tblCellSpacing w:w="0" w:type="dxa"/>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6432AE" w:rsidRPr="006432AE" w:rsidRDefault="006432AE" w:rsidP="006432AE">
            <w:pPr>
              <w:spacing w:before="0" w:after="0"/>
              <w:rPr>
                <w:rFonts w:ascii="Arial" w:eastAsia="Times New Roman" w:hAnsi="Arial" w:cs="Arial"/>
                <w:color w:val="333333"/>
                <w:sz w:val="20"/>
                <w:szCs w:val="20"/>
              </w:rPr>
            </w:pPr>
          </w:p>
        </w:tc>
        <w:tc>
          <w:tcPr>
            <w:tcW w:w="303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vAlign w:val="center"/>
            <w:hideMark/>
          </w:tcPr>
          <w:p w:rsidR="006432AE" w:rsidRPr="006432AE" w:rsidRDefault="006432AE" w:rsidP="006432AE">
            <w:pPr>
              <w:spacing w:after="0"/>
              <w:ind w:right="26"/>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Tổng nguyên giá tài sản cố định của doanh nghiệp</w:t>
            </w:r>
          </w:p>
        </w:tc>
      </w:tr>
    </w:tbl>
    <w:p w:rsidR="006432AE" w:rsidRPr="006432AE" w:rsidRDefault="006432AE" w:rsidP="006432AE">
      <w:pPr>
        <w:spacing w:after="0"/>
        <w:ind w:right="26"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Tổng nguyên giá tài sản cố định của doanh nghiệp gồm: nguyên giá tài sản cố định đầu tư mở rộng đưa vào sử dụng cho sản xuất, kinh doanh và nguyên giá tài sản cố định hiện có đang dùng cho sản xuất, kinh doanh theo số liệu cuối kỳ trên Bảng cân đối kế toán năm.</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Ưu đãi thuế quy định tại khoản này không áp dụng đối với các trường hợp đầu tư mở rộng do sáp nhập, mua lại doanh nghiệp hoặc dự án đầu tư đang hoạt động.</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6. Dự án đầu tư mở rộng được hưởng ưu đãi quy định tại điểm b khoản 5 Điều này phải đáp ứng một trong các tiêu chí sau:</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Nguyên giá tài sản cố định tăng thêm khi dự án đầu tư hoàn thành việc giải ngân số vốn đầu tư mở rộng đã đăng ký đạt tối thiểu từ </w:t>
      </w:r>
      <w:r w:rsidRPr="006432AE">
        <w:rPr>
          <w:rFonts w:ascii="Arial" w:eastAsia="Times New Roman" w:hAnsi="Arial" w:cs="Arial"/>
          <w:b/>
          <w:bCs/>
          <w:color w:val="333333"/>
          <w:sz w:val="20"/>
          <w:szCs w:val="20"/>
        </w:rPr>
        <w:t>40</w:t>
      </w:r>
      <w:r w:rsidRPr="006432AE">
        <w:rPr>
          <w:rFonts w:ascii="Arial" w:eastAsia="Times New Roman" w:hAnsi="Arial" w:cs="Arial"/>
          <w:color w:val="333333"/>
          <w:sz w:val="20"/>
          <w:szCs w:val="20"/>
        </w:rPr>
        <w:t> tỷ đồng đối với dự án đầu tư mở rộng thuộc ngành, nghề hưởng ưu đãi thuế thu nhập doanh nghiệp theo quy định của Nghị định này hoặc từ </w:t>
      </w:r>
      <w:r w:rsidRPr="006432AE">
        <w:rPr>
          <w:rFonts w:ascii="Arial" w:eastAsia="Times New Roman" w:hAnsi="Arial" w:cs="Arial"/>
          <w:b/>
          <w:bCs/>
          <w:color w:val="333333"/>
          <w:sz w:val="20"/>
          <w:szCs w:val="20"/>
        </w:rPr>
        <w:t>20</w:t>
      </w:r>
      <w:r w:rsidRPr="006432AE">
        <w:rPr>
          <w:rFonts w:ascii="Arial" w:eastAsia="Times New Roman" w:hAnsi="Arial" w:cs="Arial"/>
          <w:color w:val="333333"/>
          <w:sz w:val="20"/>
          <w:szCs w:val="20"/>
        </w:rPr>
        <w:t> tỷ đồng đối với dự án đầu tư mở rộng thực hiện tại các địa bàn quy định tại điểm a, điểm b khoản 1 Điều 16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Tỷ trọng nguyên giá tài sản cố định khi dự án đầu tư hoàn thành việc giải ngân số vốn đầu tư mở rộng đã đăng ký tăng thêm đạt tối thiểu từ 20% so với tổng nguyên giá tài sản cố định trước khi bắt đầu đầu tư mở rộng.</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Công suất thiết kế tăng thêm khi dự án đầu tư hoàn thành việc giải ngân số vốn đầu tư mở rộng đã đăng ký tối thiểu từ 20% so với công suất thiết kế trước khi bắt đầu đầu tư mở rộng.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Thời gian miễn thuế, giảm thuế quy định tại khoản này được tính từ năm dự án đầu tư mở rộng hoàn thành số vốn đầu tư đã đăng ký có thu nhập; trường hợp không có thu nhập chịu thuế trong ba năm đầu, kể từ năm đầu tiên có doanh thu từ dự án đầu tư mở rộng thì thời gian miễn thuế, giảm thuế được tính từ năm thứ tư dự án đầu tư mở rộng phát sinh doanh thu.</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19. Các trường hợp miễn thuế, giảm thuế khác</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w:t>
      </w:r>
      <w:r w:rsidRPr="006432AE">
        <w:rPr>
          <w:rFonts w:ascii="Arial" w:eastAsia="Times New Roman" w:hAnsi="Arial" w:cs="Arial"/>
          <w:b/>
          <w:bCs/>
          <w:color w:val="333333"/>
          <w:sz w:val="20"/>
          <w:szCs w:val="20"/>
        </w:rPr>
        <w:t>Doanh nghiệp sản xuất, xây dựng, vận tải (trừ đơn vị sự nghiệp, văn phòng thuộc các tập đoàn, tổng công ty không trực tiếp sản xuất, kinh doanh) sử dụng từ 10 đến 100 lao động nữ, trong đó số lao động nữ chiếm trên 50% tổng số lao động có mặt thường xuyên hoặc sử dụng thường xuyên trên 100 lao động nữ mà số lao động nữ chiếm trên 30% tổng số lao động có mặt thường xuyên của doanh nghiệp, được giảm thuế thu nhập doanh nghiệp bằng số chi thêm cho lao động nữ gồm:</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Chi đào tạo lại nghề.</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Chi phí tiền lương và phụ cấp (nếu có) cho cô giáo dạy ở nhà trẻ, mẫu giáo do doanh nghiệp tổ chức và quản lý.</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lastRenderedPageBreak/>
        <w:t>c) Chi khám sức khỏe thêm trong năm.</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 Chi bồi dưỡng cho lao động nữ sau khi sinh con theo mức chi cụ thể do cơ quan có thẩm quyền quy định.</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 Lương, phụ cấp trả cho thời gian lao động nữ được nghỉ sau khi sinh con, nghỉ cho con bú theo chế độ nhưng vẫn làm việc.</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Doanh nghiệp sử dụng lao động là người dân tộc thiểu số được giảm thuế thu nhập doanh nghiệp bằng số chi thêm cho lao động là người dân tộc thiểu số, </w:t>
      </w:r>
      <w:r w:rsidRPr="006432AE">
        <w:rPr>
          <w:rFonts w:ascii="Arial" w:eastAsia="Times New Roman" w:hAnsi="Arial" w:cs="Arial"/>
          <w:b/>
          <w:bCs/>
          <w:color w:val="333333"/>
          <w:sz w:val="20"/>
          <w:szCs w:val="20"/>
        </w:rPr>
        <w:t>bao gồm: chi đào tạo nghề, tiền hỗ trợ về nhà ở, bảo hiểm xã hội, bảo hiểm y tế cho người dân tộc thiểu số trong trường hợp chưa được Nhà nước hỗ trợ theo chế độ quy định.</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3. Doanh nghiệp thực hiện chuyển giao công nghệ thuộc lĩnh vực ưu tiên chuyển giao cho tổ chức, cá nhân ở địa bàn có điều kiện kinh tế - xã hội khó khăn, đơn vị sự nghiệp công lập cung cấp dịch vụ sự nghiệp công ở địa bàn có điều kiện kinh tế - xã hội khó khăn được giảm 50% số thuế thu nhập doanh nghiệp tính trên phần thu nhập từ chuyển giao công nghệ, thu nhập từ cung cấp dịch vụ sự nghiệp công ở địa bàn có điều kiện kinh tế - xã hội khó khăn.</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Địa bàn có điều kiện kinh tế xã hội khó khăn theo quy định tại điểm b khoản 3 Điều 16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Doanh nghiệp quy định tại các khoản 2 và 3 Điều 10 của Nghị định này thành lập mới từ hộ kinh doanh (bao gồm cá nhân kinh doanh chuyển đổi lên doanh nghiệp) được miễn thuế thu nhập doanh nghiệp trong 02 năm liên tục kể từ khi có thu nhập chịu thuế.</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Thời gian miễn thuế quy định tại khoản này</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được tính liên tục từ năm đầu tiên doanh nghiệp có thu nhập chịu thuế, trường hợp không có thu nhập chịu thuế trong ba năm đầu, kể từ năm đầu tiên có doanh thu thì thời gian miễn thuế được tính từ năm thứ tư.</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trong kỳ tính thuế đầu tiên của doanh nghiệp có thời gian sản xuất, kinh doanh được miễn thuế dưới 12 tháng, doanh nghiệp được lựa chọn hưởng miễn thuế</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ngay kỳ tính thuế đó hoặc đăng ký với cơ quan thuế thời gian bắt đầu được miễn thuế</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từ kỳ tính thuế tiếp theo. Trường hợp doanh nghiệp đăng ký thời gian miễn thuế vào kỳ tính thuế tiếp theo thì phải xác định số thuế phải nộp của kỳ tính thuế đầu tiên để nộp ngân sách nhà nước theo quy định.</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Sau thời gian miễn thuế quy định tại khoản này, trường hợp doanh nghiệp thực hiện dự án đầu tư thuộc ngành, nghề, địa bàn ưu đãi thuế thì tiếp tục được hưởng mức ưu đãi (thuế suất ưu đãi và miễn, giảm thuế) tương ứng theo quy định tại các Điều 16, Điều 17 và Điều 18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Hết thời gian miễn thuế và thời gian hưởng ưu đãi thuế (nếu có) quy định tại khoản này, doanh nghiệp thực hiện mức thuế suất thuế thu nhập doanh nghiệp theo quy định tại các khoản 2 và 3 Điều 10 của Nghị định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Hộ kinh doanh, cá nhân kinh doanh quy định tại khoản này phải đáp ứng điều kiện đã đăng ký và hoạt động theo quy định của pháp luật, đồng thời có thời gian sản xuất, kinh doanh liên tục ít nhất là 12 tháng tính đến ngày được cấp Giấy chứng nhận đăng ký doanh nghiệp lần đầu.</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d) Doanh nghiệp thành lập mới được miễn thuế, ưu đãi thuế theo quy định tại khoản này là doanh nghiệp đăng ký kinh doanh lần đầu, không bao gồm trường hợp doanh nghiệp thành lập mới mà người đại diện theo pháp luật (trừ trường hợp người đại diện theo pháp luật không phải là thành viên góp vốn), thành viên hợp danh hoặc người có số vốn góp cao nhất đã tham gia hoạt động kinh doanh với vai trò là người đại diện theo pháp luật, thành viên hợp danh hoặc người có số vốn góp cao nhất trong các doanh nghiệp đang hoạt động hoặc đã giải thể nhưng chưa được 12 tháng tính từ thời điểm giải thể doanh nghiệp cũ đến thời điểm thành lập doanh nghiệp mới</w:t>
      </w:r>
      <w:r w:rsidRPr="006432AE">
        <w:rPr>
          <w:rFonts w:ascii="Arial" w:eastAsia="Times New Roman" w:hAnsi="Arial" w:cs="Arial"/>
          <w:b/>
          <w:bCs/>
          <w:i/>
          <w:iCs/>
          <w:color w:val="333333"/>
          <w:sz w:val="20"/>
          <w:szCs w:val="20"/>
        </w:rPr>
        <w:t>.</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5. Tổ chức khoa học và công nghệ công lập </w:t>
      </w:r>
      <w:r w:rsidRPr="006432AE">
        <w:rPr>
          <w:rFonts w:ascii="Arial" w:eastAsia="Times New Roman" w:hAnsi="Arial" w:cs="Arial"/>
          <w:b/>
          <w:bCs/>
          <w:color w:val="333333"/>
          <w:sz w:val="20"/>
          <w:szCs w:val="20"/>
        </w:rPr>
        <w:t>theo quy định của pháp luật về khoa học công nghệ và đổi mới sáng tạo</w:t>
      </w:r>
      <w:r w:rsidRPr="006432AE">
        <w:rPr>
          <w:rFonts w:ascii="Arial" w:eastAsia="Times New Roman" w:hAnsi="Arial" w:cs="Arial"/>
          <w:color w:val="333333"/>
          <w:sz w:val="20"/>
          <w:szCs w:val="20"/>
        </w:rPr>
        <w:t>, cơ sở giáo dục đại học công lập </w:t>
      </w:r>
      <w:r w:rsidRPr="006432AE">
        <w:rPr>
          <w:rFonts w:ascii="Arial" w:eastAsia="Times New Roman" w:hAnsi="Arial" w:cs="Arial"/>
          <w:b/>
          <w:bCs/>
          <w:color w:val="333333"/>
          <w:sz w:val="20"/>
          <w:szCs w:val="20"/>
        </w:rPr>
        <w:t>theo quy định của Luật Giáo dục đại học</w:t>
      </w:r>
      <w:r w:rsidRPr="006432AE">
        <w:rPr>
          <w:rFonts w:ascii="Arial" w:eastAsia="Times New Roman" w:hAnsi="Arial" w:cs="Arial"/>
          <w:color w:val="333333"/>
          <w:sz w:val="20"/>
          <w:szCs w:val="20"/>
        </w:rPr>
        <w:t> hoạt động không vì mục tiêu lợi nhuận được miễn thuế.</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pacing w:val="-12"/>
          <w:sz w:val="20"/>
          <w:szCs w:val="20"/>
        </w:rPr>
        <w:t>Điều 20. Trích lập Quỹ phát triển khoa học và công nghệ của doanh nghiệp</w:t>
      </w:r>
    </w:p>
    <w:p w:rsidR="006432AE" w:rsidRPr="006432AE" w:rsidRDefault="006432AE" w:rsidP="006432AE">
      <w:pPr>
        <w:spacing w:before="60" w:after="60"/>
        <w:ind w:firstLine="720"/>
        <w:rPr>
          <w:rFonts w:ascii="Arial" w:eastAsia="Times New Roman" w:hAnsi="Arial" w:cs="Arial"/>
          <w:color w:val="333333"/>
          <w:sz w:val="20"/>
          <w:szCs w:val="20"/>
        </w:rPr>
      </w:pPr>
      <w:r w:rsidRPr="006432AE">
        <w:rPr>
          <w:rFonts w:ascii="Arial" w:eastAsia="Times New Roman" w:hAnsi="Arial" w:cs="Arial"/>
          <w:color w:val="333333"/>
          <w:sz w:val="20"/>
          <w:szCs w:val="20"/>
        </w:rPr>
        <w:t>Việc trích lập Quỹ phát triển khoa học và công nghệ của doanh nghiệp được thực hiện theo quy định tại Điều 17 Luật thuế thu nhập doanh nghiệp.</w:t>
      </w:r>
    </w:p>
    <w:p w:rsidR="006432AE" w:rsidRPr="006432AE" w:rsidRDefault="006432AE" w:rsidP="006432AE">
      <w:pPr>
        <w:spacing w:before="60" w:after="60"/>
        <w:ind w:firstLine="720"/>
        <w:rPr>
          <w:rFonts w:ascii="Arial" w:eastAsia="Times New Roman" w:hAnsi="Arial" w:cs="Arial"/>
          <w:color w:val="333333"/>
          <w:sz w:val="20"/>
          <w:szCs w:val="20"/>
        </w:rPr>
      </w:pPr>
      <w:r w:rsidRPr="006432AE">
        <w:rPr>
          <w:rFonts w:ascii="Arial" w:eastAsia="Times New Roman" w:hAnsi="Arial" w:cs="Arial"/>
          <w:b/>
          <w:bCs/>
          <w:color w:val="333333"/>
          <w:sz w:val="20"/>
          <w:szCs w:val="20"/>
        </w:rPr>
        <w:t>Hàng năm, doanh nghiệp tự quyết định mức trích lập Quỹ phát triển khoa học và công nghệ theo quy định và lập Báo cáo trích lập, sử dụng Quỹ phát triển khoa học và công nghệ cùng tờ khai quyết toán thuế thu nhập doanh nghiệp.</w:t>
      </w:r>
    </w:p>
    <w:p w:rsidR="006432AE" w:rsidRPr="006432AE" w:rsidRDefault="006432AE" w:rsidP="006432AE">
      <w:pPr>
        <w:spacing w:before="60" w:after="60"/>
        <w:ind w:firstLine="720"/>
        <w:rPr>
          <w:rFonts w:ascii="Arial" w:eastAsia="Times New Roman" w:hAnsi="Arial" w:cs="Arial"/>
          <w:color w:val="333333"/>
          <w:sz w:val="20"/>
          <w:szCs w:val="20"/>
        </w:rPr>
      </w:pPr>
      <w:r w:rsidRPr="006432AE">
        <w:rPr>
          <w:rFonts w:ascii="Arial" w:eastAsia="Times New Roman" w:hAnsi="Arial" w:cs="Arial"/>
          <w:b/>
          <w:bCs/>
          <w:color w:val="333333"/>
          <w:sz w:val="20"/>
          <w:szCs w:val="20"/>
        </w:rPr>
        <w:t>Mẫu Báo cáo trích lập, sử dụng Quỹ phát triển khoa học và công nghệ của doanh nghiệp do Bộ Tài chính quy định.</w:t>
      </w:r>
    </w:p>
    <w:p w:rsidR="006432AE" w:rsidRPr="006432AE" w:rsidRDefault="006432AE" w:rsidP="006432AE">
      <w:pPr>
        <w:spacing w:before="60" w:after="60"/>
        <w:ind w:firstLine="720"/>
        <w:jc w:val="both"/>
        <w:rPr>
          <w:rFonts w:ascii="Arial" w:eastAsia="Times New Roman" w:hAnsi="Arial" w:cs="Arial"/>
          <w:color w:val="333333"/>
          <w:sz w:val="20"/>
          <w:szCs w:val="20"/>
        </w:rPr>
      </w:pPr>
      <w:r w:rsidRPr="006432AE">
        <w:rPr>
          <w:rFonts w:ascii="Arial" w:eastAsia="Times New Roman" w:hAnsi="Arial" w:cs="Arial"/>
          <w:b/>
          <w:bCs/>
          <w:color w:val="333333"/>
          <w:spacing w:val="-6"/>
          <w:sz w:val="20"/>
          <w:szCs w:val="20"/>
        </w:rPr>
        <w:t>Điều 21. </w:t>
      </w:r>
      <w:r w:rsidRPr="006432AE">
        <w:rPr>
          <w:rFonts w:ascii="Arial" w:eastAsia="Times New Roman" w:hAnsi="Arial" w:cs="Arial"/>
          <w:b/>
          <w:bCs/>
          <w:color w:val="333333"/>
          <w:sz w:val="20"/>
          <w:szCs w:val="20"/>
        </w:rPr>
        <w:t>Điều kiện áp dụng ưu đãi thuế thu nhập doanh nghiệp</w:t>
      </w:r>
    </w:p>
    <w:p w:rsidR="006432AE" w:rsidRPr="006432AE" w:rsidRDefault="006432AE" w:rsidP="006432AE">
      <w:pPr>
        <w:spacing w:before="60" w:after="60"/>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Điều kiện áp dụng ưu đãi thuế thu nhập doanh nghiệp thực hiện theo quy định tại Điều 18 Luật thuế thu nhập doanh nghiệp.</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1. </w:t>
      </w:r>
      <w:r w:rsidRPr="006432AE">
        <w:rPr>
          <w:rFonts w:ascii="Arial" w:eastAsia="Times New Roman" w:hAnsi="Arial" w:cs="Arial"/>
          <w:b/>
          <w:bCs/>
          <w:color w:val="333333"/>
          <w:sz w:val="20"/>
          <w:szCs w:val="20"/>
        </w:rPr>
        <w:t>Trong thời gian đang được hưởng ưu đãi thuế thu nhập doanh nghiệp nếu doanh nghiệp thực hiện nhiều hoạt động sản xuất, kinh doanh thì</w:t>
      </w:r>
      <w:r w:rsidRPr="006432AE">
        <w:rPr>
          <w:rFonts w:ascii="Arial" w:eastAsia="Times New Roman" w:hAnsi="Arial" w:cs="Arial"/>
          <w:color w:val="333333"/>
          <w:sz w:val="20"/>
          <w:szCs w:val="20"/>
        </w:rPr>
        <w:t> doanh nghiệp phải </w:t>
      </w:r>
      <w:r w:rsidRPr="006432AE">
        <w:rPr>
          <w:rFonts w:ascii="Arial" w:eastAsia="Times New Roman" w:hAnsi="Arial" w:cs="Arial"/>
          <w:b/>
          <w:bCs/>
          <w:color w:val="333333"/>
          <w:sz w:val="20"/>
          <w:szCs w:val="20"/>
        </w:rPr>
        <w:t>tính </w:t>
      </w:r>
      <w:r w:rsidRPr="006432AE">
        <w:rPr>
          <w:rFonts w:ascii="Arial" w:eastAsia="Times New Roman" w:hAnsi="Arial" w:cs="Arial"/>
          <w:color w:val="333333"/>
          <w:sz w:val="20"/>
          <w:szCs w:val="20"/>
        </w:rPr>
        <w:t>riêng thu nhập từ hoạt động sản xuất, kinh doanh được ưu đãi thuế quy định tại Điều 17 và Điều 18 của Nghị định này (</w:t>
      </w:r>
      <w:r w:rsidRPr="006432AE">
        <w:rPr>
          <w:rFonts w:ascii="Arial" w:eastAsia="Times New Roman" w:hAnsi="Arial" w:cs="Arial"/>
          <w:b/>
          <w:bCs/>
          <w:color w:val="333333"/>
          <w:sz w:val="20"/>
          <w:szCs w:val="20"/>
        </w:rPr>
        <w:t>bao gồm mức thuế suất ưu đãi, mức miễn thuế, giảm thuế)</w:t>
      </w:r>
      <w:r w:rsidRPr="006432AE">
        <w:rPr>
          <w:rFonts w:ascii="Arial" w:eastAsia="Times New Roman" w:hAnsi="Arial" w:cs="Arial"/>
          <w:color w:val="333333"/>
          <w:sz w:val="20"/>
          <w:szCs w:val="20"/>
        </w:rPr>
        <w:t> 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thu hoặc chi phí của hoạt động sản xuất, kinh doanh được ưu đãi thuế trên tổng doanh thu hoặc tổng chi phí của doanh nghiệp.</w:t>
      </w:r>
    </w:p>
    <w:p w:rsidR="006432AE" w:rsidRPr="006432AE" w:rsidRDefault="006432AE" w:rsidP="006432AE">
      <w:pPr>
        <w:spacing w:after="0"/>
        <w:ind w:right="26"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shd w:val="clear" w:color="auto" w:fill="FFFFFF"/>
        </w:rPr>
        <w:t>Trường hợp</w:t>
      </w:r>
      <w:r w:rsidRPr="006432AE">
        <w:rPr>
          <w:rFonts w:ascii="Arial" w:eastAsia="Times New Roman" w:hAnsi="Arial" w:cs="Arial"/>
          <w:b/>
          <w:bCs/>
          <w:color w:val="333333"/>
          <w:sz w:val="20"/>
          <w:szCs w:val="20"/>
        </w:rPr>
        <w:t> trong kỳ tính thuế, doanh nghiệp không tính riêng thu nhập từ hoạt động sản xuất, kinh doanh được hưởng ưu đãi thuế và thu nhập từ hoạt động sản xuất, kinh doanh không được hưởng ưu đãi thuế thì phần thu nhập của hoạt động sản xuất, kinh doanh ưu đãi thuế xác định bằng (=) tổng thu nhập chịu thuế nhân (x) với tỷ lệ phần trăm (%) doanh thu hoặc chi phí được trừ của hoạt động sản xuất, kinh doanh ưu đãi thuế so với tổng doanh thu hoặc tổng chi phí được trừ của doanh nghiệp trong kỳ tính thuế.</w:t>
      </w:r>
    </w:p>
    <w:p w:rsidR="006432AE" w:rsidRPr="006432AE" w:rsidRDefault="006432AE" w:rsidP="006432AE">
      <w:pPr>
        <w:spacing w:after="0"/>
        <w:ind w:right="26"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shd w:val="clear" w:color="auto" w:fill="FFFFFF"/>
        </w:rPr>
        <w:t>Trường hợp</w:t>
      </w:r>
      <w:r w:rsidRPr="006432AE">
        <w:rPr>
          <w:rFonts w:ascii="Arial" w:eastAsia="Times New Roman" w:hAnsi="Arial" w:cs="Arial"/>
          <w:b/>
          <w:bCs/>
          <w:color w:val="333333"/>
          <w:sz w:val="20"/>
          <w:szCs w:val="20"/>
        </w:rPr>
        <w:t> có khoản doanh thu hoặc chi phí được trừ không thể hạch toán riêng được thì khoản doanh thu hoặc chi phí được trừ đó xác định theo tỷ lệ giữa doanh thu hoặc chi phí được trừ của hoạt động sản xuất, kinh doanh hưởng ưu đãi thuế trên tổng doanh thu hoặc chi phí được trừ của doanh nghiệp.</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2. Trong cùng một thời gian, nếu doanh nghiệp được hưởng nhiều mức ưu đãi thuế khác nhau đối với cùng một khoản thu nhập thì doanh nghiệp được lựa chọn áp dụng mức ưu đãi thuế có lợi nhất và </w:t>
      </w:r>
      <w:r w:rsidRPr="006432AE">
        <w:rPr>
          <w:rFonts w:ascii="Arial" w:eastAsia="Times New Roman" w:hAnsi="Arial" w:cs="Arial"/>
          <w:b/>
          <w:bCs/>
          <w:color w:val="333333"/>
          <w:sz w:val="20"/>
          <w:szCs w:val="20"/>
        </w:rPr>
        <w:t>thực hiện ổn định, không thay đổi trong toàn bộ thời gian hưởng ưu đãi còn lại.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a) Trường hợp doanh nghiệp đang trong thời gian hưởng ưu đãi thuế thu nhập doanh nghiệp mà lựa chọn chuyển sang áp dụng ưu đãi thuế theo tiêu chí khác có mức ưu đãi thuế có lợi hơn thì phải trừ đi thời gian ưu đãi (số năm đã áp dụng miễn, giảm và thuế suất ưu đãi) đã hưởng.</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b) Trường hợp doanh nghiệp đã hưởng hết ưu đãi thuế thu nhập doanh nghiệp theo quy định của các văn bản quy phạm pháp luật về thuế thu nhập doanh nghiệp mà được cấp Giấy chứng nhận doanh nghiệp công nghệ cao, Giấy chứng nhận doanh nghiệp nông nghiệp ứng dụng công nghệ cao, Giấy chứng nhận doanh nghiệp khoa học và công nghệ, Giấy chứng nhận dự án ứng dụng công nghệ cao, Giấy xác nhận ưu đãi dự án sản xuất sản phẩm công nghiệp hỗ trợ thì được hưởng ưu đãi cho thời gian còn lại được xác định bằng mức ưu đãi áp dụng cho doanh nghiệp công nghệ cao, doanh nghiệp nông nghiệp ứng dụng công nghệ cao, doanh nghiệp khoa học công nghệ, dự án ứng dụng công nghệ cao, dự án sản xuất sản phẩm công nghiệp hỗ trợ trừ đi thời gian ưu đãi đã hưởng (số năm đã áp dụng miễn, giảm và thuế suất ưu đãi).</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            c) Trường hợp doanh nghiệp có khoản thu nhập vừa đáp ứng điều kiện ưu đãi về thuế suất thuế thu nhập doanh nghiệp theo quy định tại khoản 2, khoản 3, khoản 5 Điều 17 hoặc tại khoản 2, khoản 3 Điều 10 của Nghị định này, vừa đáp ứng điều kiện ưu đãi theo lĩnh vực ưu đãi khác hoặc theo địa bàn ưu đãi mà doanh nghiệp lựa chọn hưởng ưu đãi theo lĩnh vực khác hoặc theo địa bàn ưu đãi thì sau khi hết thời gian ưu đãi theo lĩnh vực ưu đãi khác hoặc theo địa bàn ưu đãi (bao gồm cả thời gian miễn thuế, giảm thuế và thuế suất ưu đãi) thì được chuyển sang áp dụng mức thuế suất đối </w:t>
      </w:r>
      <w:r w:rsidRPr="006432AE">
        <w:rPr>
          <w:rFonts w:ascii="Arial" w:eastAsia="Times New Roman" w:hAnsi="Arial" w:cs="Arial"/>
          <w:color w:val="333333"/>
          <w:sz w:val="20"/>
          <w:szCs w:val="20"/>
        </w:rPr>
        <w:lastRenderedPageBreak/>
        <w:t>với ngành, nghề quy định tại khoản 2, khoản 3, khoản 5 Điều 17 và doanh nghiệp tại khoản 2, khoản 3 Điều 10 của Nghị định này cho thời gian còn lại.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3.</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Áp dụng ưu đãi thuế thu nhập doanh nghiệp theo tiêu chí địa bàn ưu đãi thuế thu nhập doanh nghiệp.</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a) Doanh nghiệp có dự án đầu tư sản xuất hưởng ưu đãi thuế theo tiêu chí địa bàn ưu đãi thuế thu nhập doanh nghiệp mà có phát sinh thu nhập từ cung cấp sản phẩm, hàng hóa do dự án sản xuất ra ngoài địa bàn thực hiện dự án đầu tư thì cũng được hưởng ưu đãi thuế đối với khoản thu nhập này.</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b) Dự án đầu tư trong lĩnh vực thương mại, dịch vụ tại địa bàn</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ưu đãi thuế thu nhập doanh nghiệp chỉ được hưởng ưu đãi đối với thu nhập của dự án đầu tư phát sinh tại địa bàn thực hiện dự án đầu tư.</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c) Dự án đầu tư trong khu công nghệ cao, khu nông nghiệp ứng dụng công nghệ cao, khu công nghệ số tập trung mà ngành, nghề hoạt động của dự án đầu tư không thuộc lĩnh vực công nghệ cao, lĩnh vực công nghệ số thì không được ưu đãi thuế thu nhập doanh nghiệp theo tiêu chí dự án đầu tư tại khu công nghệ cao, khu nông nghiệp ứng dụng công nghệ cao, khu công nghệ số tập trung.</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Doanh nghiệp có dự án đầu tư được hưởng ưu đãi thuế thu nhập doanh nghiệp theo quy định của pháp luật thuế thu nhập doanh nghiệp tại thời điểm cấp phép hoặc cấp Giấy chứng nhận đầu tư hoặc được phép đầu tư theo quy định của pháp luật về đầu tư. Trường hợp pháp luật thuế thu nhập doanh nghiệp có thay đổi mà doanh nghiệp đáp ứng điều kiện ưu đãi thuế theo quy định của pháp luật mới được sửa đổi, bổ sung thì doanh nghiệp được lựa chọn hưởng ưu đãi về thuế suất và về thời gian miễn thuế, giảm thuế theo quy định của pháp luật tại thời điểm cấp phép, cấp Giấy chứng nhận đầu tư, được phép đầu tư hoặc theo quy định của pháp luật mới được sửa đổi, bổ sung cho thời gian còn lại.</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Trường hợp doanh nghiệp có dự án đầu tư mà không thuộc diện được hưởng ưu đãi theo quy định của các văn bản quy phạm pháp luật về thuế thu nhập doanh nghiệp trước thời điểm Nghị định này có hiệu lực nhưng thuộc diện hưởng ưu đãi theo quy định của Nghị định này thì được áp dụng ưu đãi theo quy định của Nghị định này cho thời gian còn lại kể từ kỳ tính thuế năm 2025.</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5. Thu nhập được ưu đãi thuế trong lĩnh vực nông nghiệp, lâm nghiệp, ngư nghiệp, diêm nghiệp tại Nghị định này bao gồm cả thu nhập từ thanh lý tài sản dự án là sản phẩm nông nghiệp, lâm nghiệp, ngư nghiệp, diêm nghiệp và thu nhập từ việc bán phế liệu, phế phẩm là sản phẩm nông nghiệp, lâm nghiệp, ngư nghiệp, diêm nghiệp.</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6. Trường hợp trong kỳ tính thuế đầu tiên có doanh thu hoặc trong kỳ tính thuế đầu tiên có thu nhập từ dự án đầu tư của doanh nghiệp (bao gồm cả dự án đầu tư mới, dự án đầu tư mở rộng, doanh nghiệp công nghệ cao, doanh nghiệp nông nghiệp ứng dụng công nghệ cao, doanh nghiệp khoa học và công nghệ) có thời gian phát sinh doanh thu, thu nhập được hưởng ưu đãi thuế dưới 12 (mười hai) tháng, doanh nghiệp được lựa chọn hưởng ưu đãi thuế (thuế suất, thời gian miễn thuế, giảm thuế) đối với dự án đầu tư</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ngay từ kỳ tính thuế đầu tiên đó hoặc đăng ký với cơ quan thuế thời gian bắt đầu được hưởng ưu đãi thuế từ kỳ tính thuế tiếp theo. Trường hợp doanh nghiệp đăng ký thời gian ưu đãi thuế vào kỳ tính thuế tiếp theo thì phải xác định số thuế phải nộp của kỳ tính thuế đầu tiên để nộp vào Ngân sách Nhà nước theo quy định.</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7. Doanh nghiệp thành lập hoặc doanh nghiệp có dự án đầu tư từ việc sáp nhập, hợp nhất, chia, tách,</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chuyển đổi chủ sở hữu,</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chuyển đổi loại hình doanh nghiệp có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chuyển đổi, chia, tách, sáp nhập, hợp nhất nếu tiếp tục đáp ứng các điều kiện ưu đãi thuế thu nhập doanh nghiệp, điều kiện chuyển lỗ theo quy định.</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8. Ưu đãi thuế thu nhập doanh nghiệp theo diện dự án đầu tư mới</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a) Dự án đầu tư mới được hưởng ưu đãi thuế thu nhập doanh nghiệp quy định tại Điều 17, Điều 18 của Nghị định này phải được cơ quan Nhà nước có thẩm quyền cấp Giấy chứng nhận đầu tư hoặc được phép đầu tư theo quy định của pháp luật về đầu tư, trong đó:</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lastRenderedPageBreak/>
        <w:t>            - Dự án được cấp Giấy chứng nhận đầu tư hoặc được phép đầu tư theo quy định của pháp luật về đầu tư từ ngày 01/10/2025 và phát sinh doanh thu của dự án đó sau khi được cấp Giấy chứng nhận đầu tư hoặc được phép đầu tư theo quy định của pháp luật về đầu tư.</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Dự án đầu tư độc lập với dự án doanh nghiệp đang hoạt động có Giấy chứng nhận đầu tư hoặc được phép đầu tư theo quy định của pháp luật về đầu tư từ ngày 01/10/2025 để thực hiện dự án đầu tư độc lập này.</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Dự án đầu tư đã được cấp Giấy chứng nhận đầu tư hoặc được phép đầu tư theo quy định của pháp luật về đầu tư trước ngày 01/10/2025 nhưng tính đến ngày 01/10/2025 chưa đi vào hoạt động, chưa phát sinh doanh thu từ hoạt động sản xuất, kinh doanh của dự án đầu tư.</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b) Dự án đầu tư mới được hưởng ưu đãi thuế thu nhập doanh nghiệp theo diện đầu tư mới không bao gồm các các trường hợp sau: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Dự án đầu tư hình thành từ việc: sáp nhập, hợp nhất, chia, tách, chuyển đổi loại hình doanh nghiệp theo quy định của pháp luật.</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 Dự án đầu tư hình thành từ việc chuyển đổi chủ sở hữu (bao gồm cả trường hợp thực hiện dự án đầu tư mới nhưng vẫn kế thừa tài sản, địa điểm kinh doanh, ngành nghề kinh doanh của doanh nghiệp cũ để tiếp tục hoạt động sản xuất kinh doanh; mua lại dự án đầu tư đang hoạt động).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c) Đối với doanh nghiệp đang được hưởng ưu đãi thuế thu nhập doanh nghiệp theo diện doanh nghiệp mới thành lập từ dự án đầu tư chỉ áp dụng đối với thu nhập từ hoạt động sản xuất kinh doanh đáp ứng điều kiện ưu đãi đầu tư ghi trong giấy chứng nhận đăng ký doanh nghiệp hoặc giấy chứng nhận đầu tư lần đầu của doanh nghiệp. Đối với doanh nghiệp đang hoạt động sản xuất kinh doanh nếu có sự thay đổi giấy chứng nhận đăng ký doanh nghiệp hoặc giấy chứng nhận đầu tư nhưng sự thay đổi đó không làm thay đổi việc đáp ứng các điều kiện ưu đãi thuế của dự án đó theo quy định thì doanh nghiệp tiếp tục được hưởng ưu đãi thuế cho thời gian còn lại hoặc ưu đãi theo diện đầu tư mở rộng nếu đáp ứng điều kiện ưu đãi theo quy định.</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d) Đối với dự án đầu tư được Giấy chứng nhận đầu tư hoặc được phép đầu tư theo quy định của pháp luật về đầu tư mà trong Hồ sơ đăng ký đầu tư lần đầu gửi cơ quan cấp phép đầu tư đã đăng ký số vốn đầu tư, phân kỳ đầu tư kèm tiến độ thực hiện đầu tư, trường hợp các giai đoạn tiếp theo thực tế có thực hiện được coi là dự án thành phần của dự án đầu tư đã được cấp phép lần đầu nếu thực hiện theo tiến độ (trừ trường hợp bất khả kháng, khó khăn do nguyên nhân khách quan trong khâu giải phóng mặt bằng, giải quyết thủ tục hành chính của cơ quan Nhà nước, do thiên tai, hỏa hoạn hoặc khó khăn, bất khả kháng khác) thì các dự án thành phần của dự án đầu tư lần đầu được hưởng ưu đãi thuế cho thời gian còn lại của dự án đầu tư lần đầu tính từ thời điểm dự án thành phần có thu nhập được hưởng ưu đãi.</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Đối với dự án đầu tư được Giấy chứng nhận đầu tư hoặc được phép đầu tư theo quy định của pháp luật về đầu tư mà có thực hiện phân kỳ đầu tư như trường hợp nêu trên thì dự án thành phần được hưởng ưu đãi thuế theo mức ưu đãi đang áp dụng đối với dự án đầu tư lần đầu cho thời gian ưu đãi còn lại.</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Thu nhập của các dự án thành phần của dự án đầu tư lần đầu đã được hưởng ưu đãi về thuế thu nhập doanh nghiệp theo quy định tại các văn bản quy phạm pháp luật trước ngày 01/10/2025 thì không thực hiện điều chỉnh lại các ưu đãi thuế đã được hưởng.</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Trong thời gian triển khai các dự án thành phần theo từng giai đoạn nêu trên nếu nhà đầu tư được cơ quan quản lý Nhà nước về đầu tư cho phép gia hạn thực hiện dự án theo quy định của pháp luật về đầu tư và doanh nghiệp thực hiện theo đúng thời hạn đã được gia hạn thì cũng được hưởng ưu đãi thuế theo quy định nêu trên.</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9. Thuế suất 15% và 17% quy định tại khoản 2, khoản 3 Điều 10 và quy định về ưu đãi thuế tại các Điều 4, </w:t>
      </w:r>
      <w:r w:rsidRPr="006432AE">
        <w:rPr>
          <w:rFonts w:ascii="Arial" w:eastAsia="Times New Roman" w:hAnsi="Arial" w:cs="Arial"/>
          <w:b/>
          <w:bCs/>
          <w:color w:val="333333"/>
          <w:sz w:val="20"/>
          <w:szCs w:val="20"/>
        </w:rPr>
        <w:t>Điều 17, Điều 18 và Điều 19</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của</w:t>
      </w:r>
      <w:r w:rsidRPr="006432AE">
        <w:rPr>
          <w:rFonts w:ascii="Arial" w:eastAsia="Times New Roman" w:hAnsi="Arial" w:cs="Arial"/>
          <w:color w:val="333333"/>
          <w:sz w:val="20"/>
          <w:szCs w:val="20"/>
        </w:rPr>
        <w:t> </w:t>
      </w:r>
      <w:r w:rsidRPr="006432AE">
        <w:rPr>
          <w:rFonts w:ascii="Arial" w:eastAsia="Times New Roman" w:hAnsi="Arial" w:cs="Arial"/>
          <w:b/>
          <w:bCs/>
          <w:color w:val="333333"/>
          <w:sz w:val="20"/>
          <w:szCs w:val="20"/>
        </w:rPr>
        <w:t>Nghị định này</w:t>
      </w:r>
      <w:r w:rsidRPr="006432AE">
        <w:rPr>
          <w:rFonts w:ascii="Arial" w:eastAsia="Times New Roman" w:hAnsi="Arial" w:cs="Arial"/>
          <w:color w:val="333333"/>
          <w:sz w:val="20"/>
          <w:szCs w:val="20"/>
        </w:rPr>
        <w:t> không áp dụng đối với:</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            a) Thu nhập từ chuyển nhượng vốn, chuyển nhượng quyền góp vốn; thu nhập từ chuyển nhượng bất động sản, trừ thu nhập từ đầu tư xây dựng nhà ở xã hội quy định tại điểm s khoản 2 Điều 16 của Luật này; thu nhập từ chuyển nhượng dự án đầu tư (trừ chuyển nhượng dự án chế biến khoáng </w:t>
      </w:r>
      <w:r w:rsidRPr="006432AE">
        <w:rPr>
          <w:rFonts w:ascii="Arial" w:eastAsia="Times New Roman" w:hAnsi="Arial" w:cs="Arial"/>
          <w:color w:val="333333"/>
          <w:sz w:val="20"/>
          <w:szCs w:val="20"/>
        </w:rPr>
        <w:lastRenderedPageBreak/>
        <w:t>sản), chuyển nhượng quyền tham gia dự án đầu tư, chuyển nhượng quyền thăm dò, khai thác, chế biến khoáng sản; thu nhập từ hoạt động sản xuất, kinh doanh ở ngoài Việt Nam;</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b) Thu nhập từ hoạt động tìm kiếm, thăm dò và khai thác dầu khí, tài nguyên quý hiếm khác và thu nhập từ hoạt động thăm dò, khai thác khoáng sản;</w:t>
      </w:r>
    </w:p>
    <w:p w:rsidR="006432AE" w:rsidRPr="006432AE" w:rsidRDefault="006432AE" w:rsidP="006432AE">
      <w:pPr>
        <w:spacing w:before="100" w:beforeAutospacing="1" w:after="100" w:afterAutospacing="1"/>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c) Thu nhập từ sản xuất, kinh doanh trò chơi điện tử trên mạng; Thu nhập từ sản xuất, kinh doanh hàng hóa, dịch vụ thuộc đối tượng chịu thuế tiêu thụ đặc biệt theo quy định của Luật Thuế tiêu thụ đặc biệt, trừ dự án sản xuất, lắp ráp ô tô, </w:t>
      </w:r>
      <w:r w:rsidRPr="006432AE">
        <w:rPr>
          <w:rFonts w:ascii="Arial" w:eastAsia="Times New Roman" w:hAnsi="Arial" w:cs="Arial"/>
          <w:b/>
          <w:bCs/>
          <w:color w:val="333333"/>
          <w:sz w:val="20"/>
          <w:szCs w:val="20"/>
        </w:rPr>
        <w:t>máy bay, trực thăng, tàu lượn</w:t>
      </w:r>
      <w:r w:rsidRPr="006432AE">
        <w:rPr>
          <w:rFonts w:ascii="Arial" w:eastAsia="Times New Roman" w:hAnsi="Arial" w:cs="Arial"/>
          <w:color w:val="333333"/>
          <w:sz w:val="20"/>
          <w:szCs w:val="20"/>
        </w:rPr>
        <w:t>, du thuyền, lọc hóa dầu.</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d) Các khoản thu nhập khác quy định tại khoản 2 Điều 3 Nghị định này không liên quan đến hoạt động sản xuất, kinh doanh được hưởng ưu đãi thuế, bao gồm trường hợp đáp ứng điều kiện ưu đãi về ngành, nghề quy định tại khoản 2 và điều kiện ưu đãi về địa bàn ưu đãi đầu tư quy định tại khoản 3 Điều 16 của Nghị định này.</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e) Trường hợp khác </w:t>
      </w:r>
      <w:r w:rsidRPr="006432AE">
        <w:rPr>
          <w:rFonts w:ascii="Arial" w:eastAsia="Times New Roman" w:hAnsi="Arial" w:cs="Arial"/>
          <w:b/>
          <w:bCs/>
          <w:color w:val="333333"/>
          <w:sz w:val="20"/>
          <w:szCs w:val="20"/>
        </w:rPr>
        <w:t>theo hướng dẫn của Bộ Tài chính</w:t>
      </w:r>
      <w:r w:rsidRPr="006432AE">
        <w:rPr>
          <w:rFonts w:ascii="Arial" w:eastAsia="Times New Roman" w:hAnsi="Arial" w:cs="Arial"/>
          <w:color w:val="333333"/>
          <w:sz w:val="20"/>
          <w:szCs w:val="20"/>
        </w:rPr>
        <w:t>.</w:t>
      </w:r>
    </w:p>
    <w:p w:rsidR="006432AE" w:rsidRPr="006432AE" w:rsidRDefault="006432AE" w:rsidP="006432AE">
      <w:pPr>
        <w:spacing w:before="60" w:after="60"/>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10. Trong thời gian được ưu đãi thuế thu nhập doanh nghiệp, nếu trong kỳ tính thuế mà doanh nghiệp không đáp ứng đủ một trong các điều kiện ưu đãi thuế quy định tại khoản 1, 3, 4, 5, 6, 8, 12, 13 và 14 Điều 4, khoản 2, khoản 3 Điều 10, Điều 16, Điều 17, Điều 18, Điều 19  và quy định tại Điều này thì kỳ tính thuế đó không được hưởng ưu đãi thuế mà phải nộp thuế theo mức thuế suất 20% (đối với các trường hợp đang hưởng ưu đãi theo các điều kiện ngành, địa bàn ưu đãi quy định tại Điều 16, 17, 18 thì năm đó cũng tính vào thời gian ưu đãi mà doanh nghiệp đang đăng ký hưởng).</w:t>
      </w:r>
    </w:p>
    <w:p w:rsidR="006432AE" w:rsidRPr="006432AE" w:rsidRDefault="006432AE" w:rsidP="006432AE">
      <w:pPr>
        <w:spacing w:before="60" w:after="60"/>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Đối với dự án đầu tư quy định tại Điểm g, h khoản 1 Điều 16 và điểm c, d khoản 6 Điều 17 Nghị định này, trường hợp sau 03 năm (đối với dự án đầu tư quy định tại điểm g là 5 năm) kể từ khi được cấp phép đầu tư (không kể bị chậm tiến độ do nguyên nhân khách quan trong khâu giải phóng mặt bằng, giải quyết thủ tục hành chính của cơ quan nhà nước hoặc do thiên tai, địch họa, hỏa hoạn và được cơ quan cấp Giấy chứng nhận đầu tư chấp thuận, báo cáo Thủ tướng Chính phủ phê duyệt) hoặc năm thứ tư kể từ năm có doanh thu (đối với dự án đầu tư quy định tại điểm g là năm thứ sáu) mà dự án đầu tư của doanh nghiệp không đáp ứng các điều kiện nêu tại Điểm g, h khoản 1 Điều 16 và điểm c, d khoản 6 Điều 17 Nghị định này thì không được hưởng ưu đãi thuế thu nhập doanh nghiệp, đồng thời doanh nghiệp phải kê khai, nộp số tiền thuế thu nhập doanh nghiệp đã kê khai hưởng ưu đãi của các năm trước (nếu có) theo quy định của pháp luật và không bị coi là hành vi khai sai theo quy định của pháp luật về quản lý thuế. Trong thời gian hưởng ưu đãi thuế thu nhập doanh nghiệp, nếu có năm tính thuế mà doanh nghiệp không đáp ứng đủ một trong các điều kiện ưu đãi thuế quy định tại Điểm g, h Khoản 1 Điều 16 Nghị định này thì năm đó doanh nghiệp không được hưởng ưu đãi thuế thu nhập doanh nghiệp.</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CHƯƠNG VI</w:t>
      </w: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KHOẢN THI HÀNH</w:t>
      </w:r>
    </w:p>
    <w:p w:rsidR="006432AE" w:rsidRPr="006432AE" w:rsidRDefault="006432AE" w:rsidP="006432AE">
      <w:pPr>
        <w:spacing w:before="100" w:beforeAutospacing="1" w:after="100" w:afterAutospacing="1"/>
        <w:ind w:firstLine="709"/>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22. Hiệu lực thi hành</w:t>
      </w:r>
    </w:p>
    <w:p w:rsidR="006432AE" w:rsidRPr="006432AE" w:rsidRDefault="006432AE" w:rsidP="006432AE">
      <w:pPr>
        <w:spacing w:before="100" w:beforeAutospacing="1" w:after="100" w:afterAutospacing="1"/>
        <w:ind w:firstLine="709"/>
        <w:jc w:val="both"/>
        <w:rPr>
          <w:rFonts w:ascii="Arial" w:eastAsia="Times New Roman" w:hAnsi="Arial" w:cs="Arial"/>
          <w:color w:val="333333"/>
          <w:sz w:val="20"/>
          <w:szCs w:val="20"/>
        </w:rPr>
      </w:pPr>
      <w:r w:rsidRPr="006432AE">
        <w:rPr>
          <w:rFonts w:ascii="Arial" w:eastAsia="Times New Roman" w:hAnsi="Arial" w:cs="Arial"/>
          <w:color w:val="333333"/>
          <w:sz w:val="20"/>
          <w:szCs w:val="20"/>
        </w:rPr>
        <w:t>1. Nghị định này có hiệu lực thi hành từ ngày </w:t>
      </w:r>
      <w:r w:rsidRPr="006432AE">
        <w:rPr>
          <w:rFonts w:ascii="Arial" w:eastAsia="Times New Roman" w:hAnsi="Arial" w:cs="Arial"/>
          <w:b/>
          <w:bCs/>
          <w:color w:val="333333"/>
          <w:sz w:val="20"/>
          <w:szCs w:val="20"/>
        </w:rPr>
        <w:t>01 tháng 10 năm 2025</w:t>
      </w:r>
      <w:r w:rsidRPr="006432AE">
        <w:rPr>
          <w:rFonts w:ascii="Arial" w:eastAsia="Times New Roman" w:hAnsi="Arial" w:cs="Arial"/>
          <w:color w:val="333333"/>
          <w:sz w:val="20"/>
          <w:szCs w:val="20"/>
        </w:rPr>
        <w:t> và áp dụng từ kỳ tính thuế thu nhập doanh nghiệp năm 2025.</w:t>
      </w:r>
    </w:p>
    <w:p w:rsidR="006432AE" w:rsidRPr="006432AE" w:rsidRDefault="006432AE" w:rsidP="006432AE">
      <w:pPr>
        <w:spacing w:before="100" w:beforeAutospacing="1" w:after="100" w:afterAutospacing="1"/>
        <w:ind w:firstLine="709"/>
        <w:jc w:val="both"/>
        <w:rPr>
          <w:rFonts w:ascii="Arial" w:eastAsia="Times New Roman" w:hAnsi="Arial" w:cs="Arial"/>
          <w:color w:val="333333"/>
          <w:sz w:val="20"/>
          <w:szCs w:val="20"/>
        </w:rPr>
      </w:pPr>
      <w:r w:rsidRPr="006432AE">
        <w:rPr>
          <w:rFonts w:ascii="Arial" w:eastAsia="Times New Roman" w:hAnsi="Arial" w:cs="Arial"/>
          <w:color w:val="333333"/>
          <w:sz w:val="20"/>
          <w:szCs w:val="20"/>
        </w:rPr>
        <w:t>2. Nghị định này thay thế Nghị định số 218/2013/NĐ-CP ngày 26 tháng 12 năm 2013 của Chính phủ quy định chi tiết và hướng dẫn thi hành một số điều Luật thuế thu nhập doanh nghiệp đã được sửa đổi, bổ sung một số điều theo các Nghị định: Nghị định số 91/2014/NĐ-CP ngày 01 tháng 10 năm 2014 của Chính phủ sửa đổi, bổ sung một số điều tại các Nghị định về thuế; Nghị định 12/2015/NĐ-CP ngày 12 tháng 02 năm 2015 của Chính phủ quy định chi tiết thi hành Luật sửa đổi, bổ sung một số điều của các Luật về thuế và sửa đổi, bổ sung một số điều của các Nghị định về thuế; Nghị định số 57/2021/NĐ-CP ngày 04 tháng 6 năm 2021 của Chính phủ bổ sung điểm g khoản 2 Điều 20 Nghị định số 218/2013/NĐ-CP (đã được sửa đổi, bổ sung tại Nghị định số 12/2015/NĐ-CP) về ưu đãi thuế thu nhập doanh nghiệp đối với dự án sản xuất sản phẩm công nghiệp hỗ trợ.</w:t>
      </w:r>
    </w:p>
    <w:p w:rsidR="006432AE" w:rsidRPr="006432AE" w:rsidRDefault="006432AE" w:rsidP="006432AE">
      <w:pPr>
        <w:spacing w:before="100" w:beforeAutospacing="1" w:after="100" w:afterAutospacing="1"/>
        <w:ind w:firstLine="709"/>
        <w:jc w:val="both"/>
        <w:rPr>
          <w:rFonts w:ascii="Arial" w:eastAsia="Times New Roman" w:hAnsi="Arial" w:cs="Arial"/>
          <w:color w:val="333333"/>
          <w:sz w:val="20"/>
          <w:szCs w:val="20"/>
        </w:rPr>
      </w:pPr>
      <w:r w:rsidRPr="006432AE">
        <w:rPr>
          <w:rFonts w:ascii="Arial" w:eastAsia="Times New Roman" w:hAnsi="Arial" w:cs="Arial"/>
          <w:color w:val="333333"/>
          <w:sz w:val="20"/>
          <w:szCs w:val="20"/>
        </w:rPr>
        <w:t xml:space="preserve">3. Bãi bỏ: Nghị định số 57/2021/NĐ-CP ngày 04 tháng 6 năm 2021 của Chính phủ bổ sung điểm g khoản 2 Điều 20 Nghị định số 218/2013/NĐ-CP (đã được sửa đổi, bổ sung tại Nghị định số 12/2015/NĐ-CP) về ưu đãi thuế thu nhập doanh nghiệp đối với dự án sản xuất sản phẩm công nghiệp hỗ trợ; quy định tại Điều 1 Nghị định số 91/2014/NĐ-CP ngày 01 tháng 10 năm 2014 của Chính phủ </w:t>
      </w:r>
      <w:r w:rsidRPr="006432AE">
        <w:rPr>
          <w:rFonts w:ascii="Arial" w:eastAsia="Times New Roman" w:hAnsi="Arial" w:cs="Arial"/>
          <w:color w:val="333333"/>
          <w:sz w:val="20"/>
          <w:szCs w:val="20"/>
        </w:rPr>
        <w:lastRenderedPageBreak/>
        <w:t>sửa đổi, bổ sung một số điều tại các Nghị định quy định về thuế và Điều 1 Nghị định số 12/2015/NĐ-CP ngày 12 tháng 02 năm 2015 của Chính phủ quy định chi tiết thi hành Luật sửa đổi, bổ sung một số điều của các Luật về thuế và sửa đổi, bổ sung một số điều của các Nghị định về thuế.</w:t>
      </w:r>
    </w:p>
    <w:p w:rsidR="006432AE" w:rsidRPr="006432AE" w:rsidRDefault="006432AE" w:rsidP="006432AE">
      <w:pPr>
        <w:spacing w:before="100" w:beforeAutospacing="1" w:after="100" w:afterAutospacing="1"/>
        <w:ind w:firstLine="709"/>
        <w:jc w:val="both"/>
        <w:rPr>
          <w:rFonts w:ascii="Arial" w:eastAsia="Times New Roman" w:hAnsi="Arial" w:cs="Arial"/>
          <w:color w:val="333333"/>
          <w:sz w:val="20"/>
          <w:szCs w:val="20"/>
        </w:rPr>
      </w:pPr>
      <w:r w:rsidRPr="006432AE">
        <w:rPr>
          <w:rFonts w:ascii="Arial" w:eastAsia="Times New Roman" w:hAnsi="Arial" w:cs="Arial"/>
          <w:color w:val="333333"/>
          <w:sz w:val="20"/>
          <w:szCs w:val="20"/>
        </w:rPr>
        <w:t>4. Trường hợp các văn bản quy phạm pháp luật quy định viện dẫn tại Nghị định này được sửa đổi, bổ sung hoặc thay thế thì thực hiện theo văn bản được sửa đổi, bổ sung hoặc thay thế đó.</w:t>
      </w:r>
    </w:p>
    <w:p w:rsidR="006432AE" w:rsidRPr="006432AE" w:rsidRDefault="006432AE" w:rsidP="006432AE">
      <w:pPr>
        <w:spacing w:before="100" w:beforeAutospacing="1" w:after="100" w:afterAutospacing="1"/>
        <w:ind w:firstLine="709"/>
        <w:jc w:val="both"/>
        <w:rPr>
          <w:rFonts w:ascii="Arial" w:eastAsia="Times New Roman" w:hAnsi="Arial" w:cs="Arial"/>
          <w:color w:val="333333"/>
          <w:sz w:val="20"/>
          <w:szCs w:val="20"/>
        </w:rPr>
      </w:pPr>
      <w:r w:rsidRPr="006432AE">
        <w:rPr>
          <w:rFonts w:ascii="Arial" w:eastAsia="Times New Roman" w:hAnsi="Arial" w:cs="Arial"/>
          <w:b/>
          <w:bCs/>
          <w:color w:val="333333"/>
          <w:sz w:val="20"/>
          <w:szCs w:val="20"/>
        </w:rPr>
        <w:t>Điều 23. Trách nhiệm thi hành</w:t>
      </w:r>
    </w:p>
    <w:p w:rsidR="006432AE" w:rsidRPr="006432AE" w:rsidRDefault="006432AE" w:rsidP="006432AE">
      <w:pPr>
        <w:spacing w:before="100" w:beforeAutospacing="1" w:after="100" w:afterAutospacing="1"/>
        <w:jc w:val="both"/>
        <w:rPr>
          <w:rFonts w:ascii="Arial" w:eastAsia="Times New Roman" w:hAnsi="Arial" w:cs="Arial"/>
          <w:color w:val="333333"/>
          <w:sz w:val="20"/>
          <w:szCs w:val="20"/>
        </w:rPr>
      </w:pPr>
      <w:r w:rsidRPr="006432AE">
        <w:rPr>
          <w:rFonts w:ascii="Arial" w:eastAsia="Times New Roman" w:hAnsi="Arial" w:cs="Arial"/>
          <w:color w:val="333333"/>
          <w:sz w:val="20"/>
          <w:szCs w:val="20"/>
        </w:rPr>
        <w:t>            1. Bộ Tài chính quy định chi tiết các điều, khoản được giao tại Nghị định và hướng dẫn thực hiện Nghị định này theo chức năng, nhiệm vụ đảm bảo yêu cầu quản lý.</w:t>
      </w:r>
    </w:p>
    <w:p w:rsidR="006432AE" w:rsidRPr="006432AE" w:rsidRDefault="006432AE" w:rsidP="006432AE">
      <w:pPr>
        <w:shd w:val="clear" w:color="auto" w:fill="FFFFFF"/>
        <w:spacing w:before="100" w:beforeAutospacing="1" w:after="240"/>
        <w:ind w:firstLine="720"/>
        <w:jc w:val="both"/>
        <w:rPr>
          <w:rFonts w:ascii="Arial" w:eastAsia="Times New Roman" w:hAnsi="Arial" w:cs="Arial"/>
          <w:color w:val="333333"/>
          <w:sz w:val="20"/>
          <w:szCs w:val="20"/>
        </w:rPr>
      </w:pPr>
      <w:r w:rsidRPr="006432AE">
        <w:rPr>
          <w:rFonts w:ascii="Arial" w:eastAsia="Times New Roman" w:hAnsi="Arial" w:cs="Arial"/>
          <w:color w:val="333333"/>
          <w:sz w:val="20"/>
          <w:szCs w:val="20"/>
        </w:rPr>
        <w:t>4.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8790" w:type="dxa"/>
        <w:tblInd w:w="108"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670"/>
        <w:gridCol w:w="3120"/>
      </w:tblGrid>
      <w:tr w:rsidR="006432AE" w:rsidRPr="006432AE" w:rsidTr="006432AE">
        <w:trPr>
          <w:trHeight w:val="1665"/>
        </w:trPr>
        <w:tc>
          <w:tcPr>
            <w:tcW w:w="567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6432AE" w:rsidRPr="006432AE" w:rsidRDefault="006432AE" w:rsidP="006432AE">
            <w:pPr>
              <w:spacing w:before="100" w:beforeAutospacing="1" w:after="100" w:afterAutospacing="1"/>
              <w:ind w:left="-109"/>
              <w:rPr>
                <w:rFonts w:ascii="Arial" w:eastAsia="Times New Roman" w:hAnsi="Arial" w:cs="Arial"/>
                <w:color w:val="333333"/>
                <w:sz w:val="20"/>
                <w:szCs w:val="20"/>
              </w:rPr>
            </w:pPr>
            <w:r w:rsidRPr="006432AE">
              <w:rPr>
                <w:rFonts w:ascii="Arial" w:eastAsia="Times New Roman" w:hAnsi="Arial" w:cs="Arial"/>
                <w:b/>
                <w:bCs/>
                <w:i/>
                <w:iCs/>
                <w:color w:val="333333"/>
                <w:sz w:val="20"/>
                <w:szCs w:val="20"/>
              </w:rPr>
              <w:t>Nơi nhận:</w:t>
            </w:r>
            <w:r w:rsidRPr="006432AE">
              <w:rPr>
                <w:rFonts w:ascii="Arial" w:eastAsia="Times New Roman" w:hAnsi="Arial" w:cs="Arial"/>
                <w:color w:val="333333"/>
                <w:sz w:val="20"/>
                <w:szCs w:val="20"/>
              </w:rPr>
              <w:br/>
              <w:t>- Ban Bí thư Trung ương Đảng;</w:t>
            </w:r>
            <w:r w:rsidRPr="006432AE">
              <w:rPr>
                <w:rFonts w:ascii="Arial" w:eastAsia="Times New Roman" w:hAnsi="Arial" w:cs="Arial"/>
                <w:color w:val="333333"/>
                <w:sz w:val="20"/>
                <w:szCs w:val="20"/>
              </w:rPr>
              <w:br/>
              <w:t>- Thủ tướng, các Phó Thủ tướng Chính phủ;</w:t>
            </w:r>
            <w:r w:rsidRPr="006432AE">
              <w:rPr>
                <w:rFonts w:ascii="Arial" w:eastAsia="Times New Roman" w:hAnsi="Arial" w:cs="Arial"/>
                <w:color w:val="333333"/>
                <w:sz w:val="20"/>
                <w:szCs w:val="20"/>
              </w:rPr>
              <w:br/>
              <w:t>- Các bộ, cơ quan ngang bộ, cơ quan thuộc Chính phủ;</w:t>
            </w:r>
            <w:r w:rsidRPr="006432AE">
              <w:rPr>
                <w:rFonts w:ascii="Arial" w:eastAsia="Times New Roman" w:hAnsi="Arial" w:cs="Arial"/>
                <w:color w:val="333333"/>
                <w:sz w:val="20"/>
                <w:szCs w:val="20"/>
              </w:rPr>
              <w:br/>
              <w:t>- HĐND, UBND các tỉnh, thành phố trực thuộc trung ương;</w:t>
            </w:r>
            <w:r w:rsidRPr="006432AE">
              <w:rPr>
                <w:rFonts w:ascii="Arial" w:eastAsia="Times New Roman" w:hAnsi="Arial" w:cs="Arial"/>
                <w:color w:val="333333"/>
                <w:sz w:val="20"/>
                <w:szCs w:val="20"/>
              </w:rPr>
              <w:br/>
              <w:t>- Văn phòng Trung ương và các Ban của Đảng;</w:t>
            </w:r>
            <w:r w:rsidRPr="006432AE">
              <w:rPr>
                <w:rFonts w:ascii="Arial" w:eastAsia="Times New Roman" w:hAnsi="Arial" w:cs="Arial"/>
                <w:color w:val="333333"/>
                <w:sz w:val="20"/>
                <w:szCs w:val="20"/>
              </w:rPr>
              <w:br/>
              <w:t>- Văn phòng Tổng Bí thư;</w:t>
            </w:r>
            <w:r w:rsidRPr="006432AE">
              <w:rPr>
                <w:rFonts w:ascii="Arial" w:eastAsia="Times New Roman" w:hAnsi="Arial" w:cs="Arial"/>
                <w:color w:val="333333"/>
                <w:sz w:val="20"/>
                <w:szCs w:val="20"/>
              </w:rPr>
              <w:br/>
              <w:t>- Văn phòng Chủ tịch nước;</w:t>
            </w:r>
            <w:r w:rsidRPr="006432AE">
              <w:rPr>
                <w:rFonts w:ascii="Arial" w:eastAsia="Times New Roman" w:hAnsi="Arial" w:cs="Arial"/>
                <w:color w:val="333333"/>
                <w:sz w:val="20"/>
                <w:szCs w:val="20"/>
              </w:rPr>
              <w:br/>
              <w:t>- Hội đồng Dân tộc và các Ủy ban của Quốc hội;</w:t>
            </w:r>
            <w:r w:rsidRPr="006432AE">
              <w:rPr>
                <w:rFonts w:ascii="Arial" w:eastAsia="Times New Roman" w:hAnsi="Arial" w:cs="Arial"/>
                <w:color w:val="333333"/>
                <w:sz w:val="20"/>
                <w:szCs w:val="20"/>
              </w:rPr>
              <w:br/>
              <w:t>- Văn phòng Quốc hội;</w:t>
            </w:r>
            <w:r w:rsidRPr="006432AE">
              <w:rPr>
                <w:rFonts w:ascii="Arial" w:eastAsia="Times New Roman" w:hAnsi="Arial" w:cs="Arial"/>
                <w:color w:val="333333"/>
                <w:sz w:val="20"/>
                <w:szCs w:val="20"/>
              </w:rPr>
              <w:br/>
              <w:t>- Tòa án nhân dân tối cao;</w:t>
            </w:r>
            <w:r w:rsidRPr="006432AE">
              <w:rPr>
                <w:rFonts w:ascii="Arial" w:eastAsia="Times New Roman" w:hAnsi="Arial" w:cs="Arial"/>
                <w:color w:val="333333"/>
                <w:sz w:val="20"/>
                <w:szCs w:val="20"/>
              </w:rPr>
              <w:br/>
              <w:t>- Viện kiểm sát nhân dân tối cao;</w:t>
            </w:r>
            <w:r w:rsidRPr="006432AE">
              <w:rPr>
                <w:rFonts w:ascii="Arial" w:eastAsia="Times New Roman" w:hAnsi="Arial" w:cs="Arial"/>
                <w:color w:val="333333"/>
                <w:sz w:val="20"/>
                <w:szCs w:val="20"/>
              </w:rPr>
              <w:br/>
              <w:t>- Kiểm toán nhà nước;</w:t>
            </w:r>
            <w:r w:rsidRPr="006432AE">
              <w:rPr>
                <w:rFonts w:ascii="Arial" w:eastAsia="Times New Roman" w:hAnsi="Arial" w:cs="Arial"/>
                <w:color w:val="333333"/>
                <w:sz w:val="20"/>
                <w:szCs w:val="20"/>
              </w:rPr>
              <w:br/>
              <w:t>- Ủy ban Giám sát tài chính Quốc gia;</w:t>
            </w:r>
            <w:r w:rsidRPr="006432AE">
              <w:rPr>
                <w:rFonts w:ascii="Arial" w:eastAsia="Times New Roman" w:hAnsi="Arial" w:cs="Arial"/>
                <w:color w:val="333333"/>
                <w:sz w:val="20"/>
                <w:szCs w:val="20"/>
              </w:rPr>
              <w:br/>
              <w:t>- Ngân hàng Chính sách xã hội;</w:t>
            </w:r>
            <w:r w:rsidRPr="006432AE">
              <w:rPr>
                <w:rFonts w:ascii="Arial" w:eastAsia="Times New Roman" w:hAnsi="Arial" w:cs="Arial"/>
                <w:color w:val="333333"/>
                <w:sz w:val="20"/>
                <w:szCs w:val="20"/>
              </w:rPr>
              <w:br/>
              <w:t>- Ngân hàng Phát triển Việt Nam;</w:t>
            </w:r>
            <w:r w:rsidRPr="006432AE">
              <w:rPr>
                <w:rFonts w:ascii="Arial" w:eastAsia="Times New Roman" w:hAnsi="Arial" w:cs="Arial"/>
                <w:color w:val="333333"/>
                <w:sz w:val="20"/>
                <w:szCs w:val="20"/>
              </w:rPr>
              <w:br/>
              <w:t>- Ủy ban trung ương Mặt trận Tổ quốc Việt Nam;</w:t>
            </w:r>
            <w:r w:rsidRPr="006432AE">
              <w:rPr>
                <w:rFonts w:ascii="Arial" w:eastAsia="Times New Roman" w:hAnsi="Arial" w:cs="Arial"/>
                <w:color w:val="333333"/>
                <w:sz w:val="20"/>
                <w:szCs w:val="20"/>
              </w:rPr>
              <w:br/>
              <w:t>- Cơ quan trung ương của các đoàn thể;</w:t>
            </w:r>
            <w:r w:rsidRPr="006432AE">
              <w:rPr>
                <w:rFonts w:ascii="Arial" w:eastAsia="Times New Roman" w:hAnsi="Arial" w:cs="Arial"/>
                <w:color w:val="333333"/>
                <w:sz w:val="20"/>
                <w:szCs w:val="20"/>
              </w:rPr>
              <w:br/>
              <w:t>- VPCP: BTCN, các PCN, Trợ lý TTg, TGĐ Cổng TTĐT,   các Vụ, Cục, đơn vị trực thuộc, Công báo;</w:t>
            </w:r>
            <w:r w:rsidRPr="006432AE">
              <w:rPr>
                <w:rFonts w:ascii="Arial" w:eastAsia="Times New Roman" w:hAnsi="Arial" w:cs="Arial"/>
                <w:color w:val="333333"/>
                <w:sz w:val="20"/>
                <w:szCs w:val="20"/>
              </w:rPr>
              <w:br/>
              <w:t>- Lưu: VT, KTTH (2b).</w:t>
            </w:r>
          </w:p>
        </w:tc>
        <w:tc>
          <w:tcPr>
            <w:tcW w:w="3120" w:type="dxa"/>
            <w:tcBorders>
              <w:top w:val="dotted" w:sz="6" w:space="0" w:color="D3D3D3"/>
              <w:left w:val="dotted" w:sz="6" w:space="0" w:color="D3D3D3"/>
              <w:bottom w:val="dotted" w:sz="6" w:space="0" w:color="D3D3D3"/>
              <w:right w:val="dotted" w:sz="6" w:space="0" w:color="D3D3D3"/>
            </w:tcBorders>
            <w:tcMar>
              <w:top w:w="0" w:type="dxa"/>
              <w:left w:w="108" w:type="dxa"/>
              <w:bottom w:w="0" w:type="dxa"/>
              <w:right w:w="108" w:type="dxa"/>
            </w:tcMar>
            <w:hideMark/>
          </w:tcPr>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TM. CHÍNH PHỦ</w:t>
            </w:r>
          </w:p>
          <w:p w:rsidR="006432AE" w:rsidRPr="006432AE" w:rsidRDefault="006432AE" w:rsidP="006432AE">
            <w:pPr>
              <w:spacing w:before="100" w:beforeAutospacing="1" w:after="0"/>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THỦ TƯỚNG</w:t>
            </w:r>
          </w:p>
          <w:p w:rsidR="006432AE" w:rsidRPr="006432AE" w:rsidRDefault="006432AE" w:rsidP="006432AE">
            <w:pPr>
              <w:spacing w:before="100" w:beforeAutospacing="1" w:after="100" w:afterAutospacing="1"/>
              <w:jc w:val="center"/>
              <w:textAlignment w:val="center"/>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center"/>
              <w:textAlignment w:val="center"/>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center"/>
              <w:textAlignment w:val="center"/>
              <w:rPr>
                <w:rFonts w:ascii="Arial" w:eastAsia="Times New Roman" w:hAnsi="Arial" w:cs="Arial"/>
                <w:color w:val="333333"/>
                <w:sz w:val="20"/>
                <w:szCs w:val="20"/>
              </w:rPr>
            </w:pPr>
          </w:p>
          <w:p w:rsidR="006432AE" w:rsidRPr="006432AE" w:rsidRDefault="006432AE" w:rsidP="006432AE">
            <w:pPr>
              <w:spacing w:before="100" w:beforeAutospacing="1" w:after="100" w:afterAutospacing="1"/>
              <w:jc w:val="center"/>
              <w:rPr>
                <w:rFonts w:ascii="Arial" w:eastAsia="Times New Roman" w:hAnsi="Arial" w:cs="Arial"/>
                <w:color w:val="333333"/>
                <w:sz w:val="20"/>
                <w:szCs w:val="20"/>
              </w:rPr>
            </w:pPr>
            <w:r w:rsidRPr="006432AE">
              <w:rPr>
                <w:rFonts w:ascii="Arial" w:eastAsia="Times New Roman" w:hAnsi="Arial" w:cs="Arial"/>
                <w:b/>
                <w:bCs/>
                <w:color w:val="333333"/>
                <w:sz w:val="20"/>
                <w:szCs w:val="20"/>
              </w:rPr>
              <w:t>Phạm Minh Chính</w:t>
            </w:r>
          </w:p>
        </w:tc>
      </w:tr>
    </w:tbl>
    <w:p w:rsidR="002A69C7" w:rsidRPr="006432AE" w:rsidRDefault="002A69C7" w:rsidP="006432AE">
      <w:bookmarkStart w:id="0" w:name="_GoBack"/>
      <w:bookmarkEnd w:id="0"/>
    </w:p>
    <w:sectPr w:rsidR="002A69C7" w:rsidRPr="006432AE" w:rsidSect="00796D5E">
      <w:headerReference w:type="default" r:id="rId8"/>
      <w:pgSz w:w="11907" w:h="16840" w:code="9"/>
      <w:pgMar w:top="1134" w:right="1134" w:bottom="851"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A4" w:rsidRDefault="001235A4" w:rsidP="00044FBF">
      <w:pPr>
        <w:spacing w:before="0" w:after="0"/>
      </w:pPr>
      <w:r>
        <w:separator/>
      </w:r>
    </w:p>
  </w:endnote>
  <w:endnote w:type="continuationSeparator" w:id="0">
    <w:p w:rsidR="001235A4" w:rsidRDefault="001235A4" w:rsidP="00044F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A4" w:rsidRDefault="001235A4" w:rsidP="00044FBF">
      <w:pPr>
        <w:spacing w:before="0" w:after="0"/>
      </w:pPr>
      <w:r>
        <w:separator/>
      </w:r>
    </w:p>
  </w:footnote>
  <w:footnote w:type="continuationSeparator" w:id="0">
    <w:p w:rsidR="001235A4" w:rsidRDefault="001235A4" w:rsidP="00044FB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04157"/>
      <w:docPartObj>
        <w:docPartGallery w:val="Page Numbers (Top of Page)"/>
        <w:docPartUnique/>
      </w:docPartObj>
    </w:sdtPr>
    <w:sdtEndPr/>
    <w:sdtContent>
      <w:p w:rsidR="006612E7" w:rsidRDefault="001235A4">
        <w:pPr>
          <w:pStyle w:val="Header"/>
          <w:jc w:val="center"/>
        </w:pPr>
        <w:r>
          <w:fldChar w:fldCharType="begin"/>
        </w:r>
        <w:r>
          <w:instrText xml:space="preserve"> PAGE   \* MERGEFORMAT </w:instrText>
        </w:r>
        <w:r>
          <w:fldChar w:fldCharType="separate"/>
        </w:r>
        <w:r w:rsidR="006432AE">
          <w:rPr>
            <w:noProof/>
          </w:rPr>
          <w:t>2</w:t>
        </w:r>
        <w:r>
          <w:rPr>
            <w:noProof/>
          </w:rPr>
          <w:fldChar w:fldCharType="end"/>
        </w:r>
      </w:p>
    </w:sdtContent>
  </w:sdt>
  <w:p w:rsidR="006612E7" w:rsidRDefault="006612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7B9"/>
    <w:multiLevelType w:val="hybridMultilevel"/>
    <w:tmpl w:val="532C52BE"/>
    <w:lvl w:ilvl="0" w:tplc="FD3EC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746ED"/>
    <w:multiLevelType w:val="hybridMultilevel"/>
    <w:tmpl w:val="532C52BE"/>
    <w:lvl w:ilvl="0" w:tplc="FD3EC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DE"/>
    <w:rsid w:val="000005C8"/>
    <w:rsid w:val="000008AD"/>
    <w:rsid w:val="00000F56"/>
    <w:rsid w:val="0000360B"/>
    <w:rsid w:val="00005654"/>
    <w:rsid w:val="00005988"/>
    <w:rsid w:val="0001070D"/>
    <w:rsid w:val="00010FC6"/>
    <w:rsid w:val="00010FFE"/>
    <w:rsid w:val="000113C1"/>
    <w:rsid w:val="00013A7A"/>
    <w:rsid w:val="000146DF"/>
    <w:rsid w:val="0001600A"/>
    <w:rsid w:val="0001723D"/>
    <w:rsid w:val="00017F5A"/>
    <w:rsid w:val="00021CD3"/>
    <w:rsid w:val="0002305A"/>
    <w:rsid w:val="00023B92"/>
    <w:rsid w:val="000251A0"/>
    <w:rsid w:val="000259FE"/>
    <w:rsid w:val="00026587"/>
    <w:rsid w:val="00032A07"/>
    <w:rsid w:val="000338C4"/>
    <w:rsid w:val="00035206"/>
    <w:rsid w:val="000364AA"/>
    <w:rsid w:val="00036779"/>
    <w:rsid w:val="000400E5"/>
    <w:rsid w:val="000407E5"/>
    <w:rsid w:val="000427EA"/>
    <w:rsid w:val="00043169"/>
    <w:rsid w:val="00044FBF"/>
    <w:rsid w:val="00045E2A"/>
    <w:rsid w:val="0004789B"/>
    <w:rsid w:val="00047D2B"/>
    <w:rsid w:val="000513D5"/>
    <w:rsid w:val="00052F46"/>
    <w:rsid w:val="00052F80"/>
    <w:rsid w:val="000531B6"/>
    <w:rsid w:val="000534B6"/>
    <w:rsid w:val="00056A7D"/>
    <w:rsid w:val="00057AB9"/>
    <w:rsid w:val="0006018B"/>
    <w:rsid w:val="0006245F"/>
    <w:rsid w:val="00063417"/>
    <w:rsid w:val="0006584F"/>
    <w:rsid w:val="000660DC"/>
    <w:rsid w:val="000664AB"/>
    <w:rsid w:val="00070B5B"/>
    <w:rsid w:val="0007101B"/>
    <w:rsid w:val="000725A8"/>
    <w:rsid w:val="0007356C"/>
    <w:rsid w:val="00073CF6"/>
    <w:rsid w:val="00074E7A"/>
    <w:rsid w:val="0007794E"/>
    <w:rsid w:val="0008314D"/>
    <w:rsid w:val="000838D8"/>
    <w:rsid w:val="00085C5E"/>
    <w:rsid w:val="0008753E"/>
    <w:rsid w:val="00090ECA"/>
    <w:rsid w:val="00091CEA"/>
    <w:rsid w:val="000977C8"/>
    <w:rsid w:val="000A107C"/>
    <w:rsid w:val="000A1169"/>
    <w:rsid w:val="000A33D7"/>
    <w:rsid w:val="000A4318"/>
    <w:rsid w:val="000A4B50"/>
    <w:rsid w:val="000A58B2"/>
    <w:rsid w:val="000A5B5A"/>
    <w:rsid w:val="000A70F9"/>
    <w:rsid w:val="000B0772"/>
    <w:rsid w:val="000B0782"/>
    <w:rsid w:val="000B1E3E"/>
    <w:rsid w:val="000B1EE5"/>
    <w:rsid w:val="000B5C35"/>
    <w:rsid w:val="000B6B5B"/>
    <w:rsid w:val="000B7D49"/>
    <w:rsid w:val="000C0154"/>
    <w:rsid w:val="000C09BD"/>
    <w:rsid w:val="000C4B16"/>
    <w:rsid w:val="000C569C"/>
    <w:rsid w:val="000C5D24"/>
    <w:rsid w:val="000C622D"/>
    <w:rsid w:val="000D2D33"/>
    <w:rsid w:val="000D4DBE"/>
    <w:rsid w:val="000D5B33"/>
    <w:rsid w:val="000E0BC4"/>
    <w:rsid w:val="000E17FA"/>
    <w:rsid w:val="000E47D5"/>
    <w:rsid w:val="000E7999"/>
    <w:rsid w:val="000F08EC"/>
    <w:rsid w:val="000F0A29"/>
    <w:rsid w:val="000F20E7"/>
    <w:rsid w:val="000F2449"/>
    <w:rsid w:val="000F3AD1"/>
    <w:rsid w:val="000F48E6"/>
    <w:rsid w:val="000F644D"/>
    <w:rsid w:val="0010089E"/>
    <w:rsid w:val="00103521"/>
    <w:rsid w:val="001042FA"/>
    <w:rsid w:val="001051F8"/>
    <w:rsid w:val="0010541B"/>
    <w:rsid w:val="00106F46"/>
    <w:rsid w:val="001079F3"/>
    <w:rsid w:val="00110D45"/>
    <w:rsid w:val="0011103C"/>
    <w:rsid w:val="00111DD9"/>
    <w:rsid w:val="00112AFE"/>
    <w:rsid w:val="00114B72"/>
    <w:rsid w:val="00115DCB"/>
    <w:rsid w:val="00120274"/>
    <w:rsid w:val="00122738"/>
    <w:rsid w:val="001235A4"/>
    <w:rsid w:val="001235A8"/>
    <w:rsid w:val="001236B4"/>
    <w:rsid w:val="00124A18"/>
    <w:rsid w:val="00126E0E"/>
    <w:rsid w:val="001305E3"/>
    <w:rsid w:val="00130F04"/>
    <w:rsid w:val="0013235E"/>
    <w:rsid w:val="00134FE2"/>
    <w:rsid w:val="001356E5"/>
    <w:rsid w:val="00135EBA"/>
    <w:rsid w:val="00136619"/>
    <w:rsid w:val="00137E6C"/>
    <w:rsid w:val="001406C0"/>
    <w:rsid w:val="00140D4A"/>
    <w:rsid w:val="00141F58"/>
    <w:rsid w:val="00142044"/>
    <w:rsid w:val="00142193"/>
    <w:rsid w:val="0014525B"/>
    <w:rsid w:val="00150FC5"/>
    <w:rsid w:val="00152DEA"/>
    <w:rsid w:val="001533A3"/>
    <w:rsid w:val="00153A49"/>
    <w:rsid w:val="0015639E"/>
    <w:rsid w:val="0015799F"/>
    <w:rsid w:val="00160BF8"/>
    <w:rsid w:val="00162C4D"/>
    <w:rsid w:val="001632A8"/>
    <w:rsid w:val="001633FA"/>
    <w:rsid w:val="00163507"/>
    <w:rsid w:val="00165621"/>
    <w:rsid w:val="00165B75"/>
    <w:rsid w:val="00166C63"/>
    <w:rsid w:val="00167AD2"/>
    <w:rsid w:val="00167BA1"/>
    <w:rsid w:val="00170C90"/>
    <w:rsid w:val="0017243B"/>
    <w:rsid w:val="00172E96"/>
    <w:rsid w:val="001758F2"/>
    <w:rsid w:val="00180545"/>
    <w:rsid w:val="00181F94"/>
    <w:rsid w:val="00182CE3"/>
    <w:rsid w:val="00184F41"/>
    <w:rsid w:val="00185D03"/>
    <w:rsid w:val="00187954"/>
    <w:rsid w:val="00191F77"/>
    <w:rsid w:val="00191FC5"/>
    <w:rsid w:val="001975C0"/>
    <w:rsid w:val="00197937"/>
    <w:rsid w:val="00197FE4"/>
    <w:rsid w:val="001A0DFC"/>
    <w:rsid w:val="001A2863"/>
    <w:rsid w:val="001A28C3"/>
    <w:rsid w:val="001A3C5A"/>
    <w:rsid w:val="001A4994"/>
    <w:rsid w:val="001A5E73"/>
    <w:rsid w:val="001B2FA5"/>
    <w:rsid w:val="001B40E2"/>
    <w:rsid w:val="001B4792"/>
    <w:rsid w:val="001B5180"/>
    <w:rsid w:val="001B5DF9"/>
    <w:rsid w:val="001B63F6"/>
    <w:rsid w:val="001B7E77"/>
    <w:rsid w:val="001C401E"/>
    <w:rsid w:val="001C4725"/>
    <w:rsid w:val="001C4D2F"/>
    <w:rsid w:val="001D0481"/>
    <w:rsid w:val="001D202A"/>
    <w:rsid w:val="001D245C"/>
    <w:rsid w:val="001D28B7"/>
    <w:rsid w:val="001D46F3"/>
    <w:rsid w:val="001D493C"/>
    <w:rsid w:val="001D53DC"/>
    <w:rsid w:val="001D5E44"/>
    <w:rsid w:val="001D6086"/>
    <w:rsid w:val="001D6CD9"/>
    <w:rsid w:val="001E0B5B"/>
    <w:rsid w:val="001E4CB9"/>
    <w:rsid w:val="001E5C59"/>
    <w:rsid w:val="001E757B"/>
    <w:rsid w:val="001E7D06"/>
    <w:rsid w:val="001F008B"/>
    <w:rsid w:val="001F05A7"/>
    <w:rsid w:val="001F06AD"/>
    <w:rsid w:val="001F4B94"/>
    <w:rsid w:val="001F5CC4"/>
    <w:rsid w:val="00200CC7"/>
    <w:rsid w:val="002024BB"/>
    <w:rsid w:val="00202C92"/>
    <w:rsid w:val="00203456"/>
    <w:rsid w:val="00204F3A"/>
    <w:rsid w:val="00206145"/>
    <w:rsid w:val="0020761D"/>
    <w:rsid w:val="0020793A"/>
    <w:rsid w:val="00211042"/>
    <w:rsid w:val="00215536"/>
    <w:rsid w:val="0021572D"/>
    <w:rsid w:val="00221AA5"/>
    <w:rsid w:val="00224031"/>
    <w:rsid w:val="00224D6C"/>
    <w:rsid w:val="00226CD0"/>
    <w:rsid w:val="0022737E"/>
    <w:rsid w:val="002274E3"/>
    <w:rsid w:val="00227DDE"/>
    <w:rsid w:val="00231499"/>
    <w:rsid w:val="00233568"/>
    <w:rsid w:val="0023419A"/>
    <w:rsid w:val="002357E9"/>
    <w:rsid w:val="00236116"/>
    <w:rsid w:val="00237631"/>
    <w:rsid w:val="00237C58"/>
    <w:rsid w:val="002422D1"/>
    <w:rsid w:val="002428A1"/>
    <w:rsid w:val="002443BD"/>
    <w:rsid w:val="0024755D"/>
    <w:rsid w:val="00247EFD"/>
    <w:rsid w:val="002515AC"/>
    <w:rsid w:val="00255931"/>
    <w:rsid w:val="0025710F"/>
    <w:rsid w:val="0026025E"/>
    <w:rsid w:val="00262227"/>
    <w:rsid w:val="00273BA4"/>
    <w:rsid w:val="00275893"/>
    <w:rsid w:val="00276BEA"/>
    <w:rsid w:val="002814C3"/>
    <w:rsid w:val="00282E83"/>
    <w:rsid w:val="002835F9"/>
    <w:rsid w:val="00284481"/>
    <w:rsid w:val="0028532B"/>
    <w:rsid w:val="002854CE"/>
    <w:rsid w:val="00287C20"/>
    <w:rsid w:val="00290A2E"/>
    <w:rsid w:val="00290A5B"/>
    <w:rsid w:val="00290F61"/>
    <w:rsid w:val="0029145F"/>
    <w:rsid w:val="00292FD4"/>
    <w:rsid w:val="0029446B"/>
    <w:rsid w:val="00294A7F"/>
    <w:rsid w:val="002957D8"/>
    <w:rsid w:val="00295813"/>
    <w:rsid w:val="002960EE"/>
    <w:rsid w:val="002A17FC"/>
    <w:rsid w:val="002A193F"/>
    <w:rsid w:val="002A2B29"/>
    <w:rsid w:val="002A2DC6"/>
    <w:rsid w:val="002A340F"/>
    <w:rsid w:val="002A69C7"/>
    <w:rsid w:val="002B0187"/>
    <w:rsid w:val="002B2FC9"/>
    <w:rsid w:val="002B55FB"/>
    <w:rsid w:val="002B612E"/>
    <w:rsid w:val="002B7827"/>
    <w:rsid w:val="002C1B34"/>
    <w:rsid w:val="002C1FA0"/>
    <w:rsid w:val="002C27CA"/>
    <w:rsid w:val="002C2A0C"/>
    <w:rsid w:val="002C4BF4"/>
    <w:rsid w:val="002C4D09"/>
    <w:rsid w:val="002C5305"/>
    <w:rsid w:val="002C75B8"/>
    <w:rsid w:val="002C7663"/>
    <w:rsid w:val="002D0732"/>
    <w:rsid w:val="002D09F2"/>
    <w:rsid w:val="002D0AF3"/>
    <w:rsid w:val="002D1864"/>
    <w:rsid w:val="002D4D57"/>
    <w:rsid w:val="002D50A1"/>
    <w:rsid w:val="002D5AA0"/>
    <w:rsid w:val="002D5F25"/>
    <w:rsid w:val="002D602A"/>
    <w:rsid w:val="002D6C03"/>
    <w:rsid w:val="002D6D5C"/>
    <w:rsid w:val="002E0F3D"/>
    <w:rsid w:val="002E17AD"/>
    <w:rsid w:val="002E1CF0"/>
    <w:rsid w:val="002E2B94"/>
    <w:rsid w:val="002E4CFC"/>
    <w:rsid w:val="002E4E5B"/>
    <w:rsid w:val="002F0774"/>
    <w:rsid w:val="002F43B5"/>
    <w:rsid w:val="002F4591"/>
    <w:rsid w:val="002F50DF"/>
    <w:rsid w:val="002F5C9C"/>
    <w:rsid w:val="002F65E7"/>
    <w:rsid w:val="002F73D4"/>
    <w:rsid w:val="00305FEA"/>
    <w:rsid w:val="0030692F"/>
    <w:rsid w:val="003078F6"/>
    <w:rsid w:val="00310A89"/>
    <w:rsid w:val="00313917"/>
    <w:rsid w:val="003165F2"/>
    <w:rsid w:val="00316CCE"/>
    <w:rsid w:val="0031727A"/>
    <w:rsid w:val="00317518"/>
    <w:rsid w:val="00317AAD"/>
    <w:rsid w:val="003201DA"/>
    <w:rsid w:val="00320868"/>
    <w:rsid w:val="003222D5"/>
    <w:rsid w:val="0032277B"/>
    <w:rsid w:val="00332940"/>
    <w:rsid w:val="00332B20"/>
    <w:rsid w:val="0033366D"/>
    <w:rsid w:val="0033434E"/>
    <w:rsid w:val="00334749"/>
    <w:rsid w:val="00334A8C"/>
    <w:rsid w:val="00334F57"/>
    <w:rsid w:val="003371DA"/>
    <w:rsid w:val="0034006C"/>
    <w:rsid w:val="00346A4F"/>
    <w:rsid w:val="0034760F"/>
    <w:rsid w:val="00347CFE"/>
    <w:rsid w:val="003508BE"/>
    <w:rsid w:val="0035332A"/>
    <w:rsid w:val="00353C18"/>
    <w:rsid w:val="00354E2C"/>
    <w:rsid w:val="003572C1"/>
    <w:rsid w:val="0036260C"/>
    <w:rsid w:val="00363156"/>
    <w:rsid w:val="0037302D"/>
    <w:rsid w:val="0037467F"/>
    <w:rsid w:val="0038181C"/>
    <w:rsid w:val="003819E5"/>
    <w:rsid w:val="00381E95"/>
    <w:rsid w:val="0038265E"/>
    <w:rsid w:val="00387099"/>
    <w:rsid w:val="00390E9B"/>
    <w:rsid w:val="00392A94"/>
    <w:rsid w:val="00393593"/>
    <w:rsid w:val="0039387A"/>
    <w:rsid w:val="00393982"/>
    <w:rsid w:val="00396C0A"/>
    <w:rsid w:val="003A121C"/>
    <w:rsid w:val="003A3A14"/>
    <w:rsid w:val="003A7398"/>
    <w:rsid w:val="003B0207"/>
    <w:rsid w:val="003B2352"/>
    <w:rsid w:val="003C103E"/>
    <w:rsid w:val="003C183A"/>
    <w:rsid w:val="003C2D81"/>
    <w:rsid w:val="003D0700"/>
    <w:rsid w:val="003D0BF1"/>
    <w:rsid w:val="003D1CC4"/>
    <w:rsid w:val="003D29A0"/>
    <w:rsid w:val="003D302B"/>
    <w:rsid w:val="003D4E89"/>
    <w:rsid w:val="003D50ED"/>
    <w:rsid w:val="003E1B00"/>
    <w:rsid w:val="003E534C"/>
    <w:rsid w:val="003F2660"/>
    <w:rsid w:val="003F3C67"/>
    <w:rsid w:val="003F3D3B"/>
    <w:rsid w:val="003F5DD8"/>
    <w:rsid w:val="003F69CD"/>
    <w:rsid w:val="003F7936"/>
    <w:rsid w:val="003F7AA2"/>
    <w:rsid w:val="004022B8"/>
    <w:rsid w:val="0040247E"/>
    <w:rsid w:val="00406766"/>
    <w:rsid w:val="004075F2"/>
    <w:rsid w:val="004127D5"/>
    <w:rsid w:val="00412805"/>
    <w:rsid w:val="004132EA"/>
    <w:rsid w:val="00414F31"/>
    <w:rsid w:val="00415662"/>
    <w:rsid w:val="00416DE3"/>
    <w:rsid w:val="00417CAB"/>
    <w:rsid w:val="00421A8D"/>
    <w:rsid w:val="00422436"/>
    <w:rsid w:val="004310C3"/>
    <w:rsid w:val="00432633"/>
    <w:rsid w:val="0043323C"/>
    <w:rsid w:val="00433F3F"/>
    <w:rsid w:val="0043429D"/>
    <w:rsid w:val="00436AD4"/>
    <w:rsid w:val="00437A85"/>
    <w:rsid w:val="00441EEB"/>
    <w:rsid w:val="0044307D"/>
    <w:rsid w:val="00443E0D"/>
    <w:rsid w:val="00444717"/>
    <w:rsid w:val="00445A69"/>
    <w:rsid w:val="0044668E"/>
    <w:rsid w:val="00446754"/>
    <w:rsid w:val="00447486"/>
    <w:rsid w:val="00447B76"/>
    <w:rsid w:val="004505EA"/>
    <w:rsid w:val="00454969"/>
    <w:rsid w:val="00461426"/>
    <w:rsid w:val="004638AF"/>
    <w:rsid w:val="00464013"/>
    <w:rsid w:val="00464571"/>
    <w:rsid w:val="0046545F"/>
    <w:rsid w:val="00465F54"/>
    <w:rsid w:val="00471EE5"/>
    <w:rsid w:val="004755F3"/>
    <w:rsid w:val="00477EB6"/>
    <w:rsid w:val="004801F7"/>
    <w:rsid w:val="004817E2"/>
    <w:rsid w:val="00484936"/>
    <w:rsid w:val="004852E2"/>
    <w:rsid w:val="004877E7"/>
    <w:rsid w:val="00490480"/>
    <w:rsid w:val="00491043"/>
    <w:rsid w:val="004950BA"/>
    <w:rsid w:val="00495E52"/>
    <w:rsid w:val="004A05EA"/>
    <w:rsid w:val="004A0658"/>
    <w:rsid w:val="004A7C0E"/>
    <w:rsid w:val="004B2CB1"/>
    <w:rsid w:val="004B357B"/>
    <w:rsid w:val="004B497B"/>
    <w:rsid w:val="004B5A27"/>
    <w:rsid w:val="004C1DA9"/>
    <w:rsid w:val="004C4386"/>
    <w:rsid w:val="004D039C"/>
    <w:rsid w:val="004D346F"/>
    <w:rsid w:val="004D554C"/>
    <w:rsid w:val="004D57FC"/>
    <w:rsid w:val="004D6DE9"/>
    <w:rsid w:val="004E02FF"/>
    <w:rsid w:val="004E1B34"/>
    <w:rsid w:val="004E7BE6"/>
    <w:rsid w:val="004F16E3"/>
    <w:rsid w:val="004F1A73"/>
    <w:rsid w:val="004F2DA6"/>
    <w:rsid w:val="004F5A86"/>
    <w:rsid w:val="00500D3D"/>
    <w:rsid w:val="00503C3A"/>
    <w:rsid w:val="00503FCF"/>
    <w:rsid w:val="00506074"/>
    <w:rsid w:val="00507C69"/>
    <w:rsid w:val="0051062C"/>
    <w:rsid w:val="0051233A"/>
    <w:rsid w:val="00512DBA"/>
    <w:rsid w:val="00513B87"/>
    <w:rsid w:val="00514561"/>
    <w:rsid w:val="0051494B"/>
    <w:rsid w:val="00514BA1"/>
    <w:rsid w:val="00516A2E"/>
    <w:rsid w:val="00522D67"/>
    <w:rsid w:val="005257C8"/>
    <w:rsid w:val="00526E93"/>
    <w:rsid w:val="00530CA1"/>
    <w:rsid w:val="00530F1C"/>
    <w:rsid w:val="005321BB"/>
    <w:rsid w:val="00533E79"/>
    <w:rsid w:val="00537119"/>
    <w:rsid w:val="00537F20"/>
    <w:rsid w:val="00540105"/>
    <w:rsid w:val="005414DF"/>
    <w:rsid w:val="00542903"/>
    <w:rsid w:val="005457B4"/>
    <w:rsid w:val="00545E73"/>
    <w:rsid w:val="005470CE"/>
    <w:rsid w:val="005526A7"/>
    <w:rsid w:val="00557A27"/>
    <w:rsid w:val="00560998"/>
    <w:rsid w:val="00561A41"/>
    <w:rsid w:val="00561D7B"/>
    <w:rsid w:val="00562E47"/>
    <w:rsid w:val="00563752"/>
    <w:rsid w:val="00565303"/>
    <w:rsid w:val="005653D9"/>
    <w:rsid w:val="00566AFA"/>
    <w:rsid w:val="005701B6"/>
    <w:rsid w:val="00570BAE"/>
    <w:rsid w:val="00572A6B"/>
    <w:rsid w:val="005766E0"/>
    <w:rsid w:val="00577430"/>
    <w:rsid w:val="00582E77"/>
    <w:rsid w:val="00583135"/>
    <w:rsid w:val="005835E1"/>
    <w:rsid w:val="0058380B"/>
    <w:rsid w:val="00587915"/>
    <w:rsid w:val="00590437"/>
    <w:rsid w:val="00594D79"/>
    <w:rsid w:val="00596DB3"/>
    <w:rsid w:val="00597E5D"/>
    <w:rsid w:val="005A2977"/>
    <w:rsid w:val="005A3342"/>
    <w:rsid w:val="005A5A4D"/>
    <w:rsid w:val="005A7BFC"/>
    <w:rsid w:val="005B1FFA"/>
    <w:rsid w:val="005B2B81"/>
    <w:rsid w:val="005B4D05"/>
    <w:rsid w:val="005B5922"/>
    <w:rsid w:val="005B5A20"/>
    <w:rsid w:val="005B5D4C"/>
    <w:rsid w:val="005B6B42"/>
    <w:rsid w:val="005B6CFB"/>
    <w:rsid w:val="005B71DE"/>
    <w:rsid w:val="005C3F8E"/>
    <w:rsid w:val="005C554F"/>
    <w:rsid w:val="005C5A6C"/>
    <w:rsid w:val="005C5E0D"/>
    <w:rsid w:val="005C6BC3"/>
    <w:rsid w:val="005D6B06"/>
    <w:rsid w:val="005D71DC"/>
    <w:rsid w:val="005E0136"/>
    <w:rsid w:val="005E216B"/>
    <w:rsid w:val="005E22E9"/>
    <w:rsid w:val="005E3F89"/>
    <w:rsid w:val="005F2A79"/>
    <w:rsid w:val="005F65B0"/>
    <w:rsid w:val="005F6D42"/>
    <w:rsid w:val="005F7449"/>
    <w:rsid w:val="00600DB6"/>
    <w:rsid w:val="0060144B"/>
    <w:rsid w:val="00601487"/>
    <w:rsid w:val="0060174F"/>
    <w:rsid w:val="00601CFE"/>
    <w:rsid w:val="00602D7A"/>
    <w:rsid w:val="0060439F"/>
    <w:rsid w:val="006047D1"/>
    <w:rsid w:val="00607B29"/>
    <w:rsid w:val="006109E5"/>
    <w:rsid w:val="0061154E"/>
    <w:rsid w:val="00611796"/>
    <w:rsid w:val="0061205C"/>
    <w:rsid w:val="00613E8B"/>
    <w:rsid w:val="00614F08"/>
    <w:rsid w:val="006161C6"/>
    <w:rsid w:val="0062133B"/>
    <w:rsid w:val="00622363"/>
    <w:rsid w:val="0062277A"/>
    <w:rsid w:val="00623BF7"/>
    <w:rsid w:val="006248F9"/>
    <w:rsid w:val="0062635A"/>
    <w:rsid w:val="00627F88"/>
    <w:rsid w:val="00630408"/>
    <w:rsid w:val="00631E45"/>
    <w:rsid w:val="006337C5"/>
    <w:rsid w:val="00636670"/>
    <w:rsid w:val="00640523"/>
    <w:rsid w:val="00640831"/>
    <w:rsid w:val="006426AD"/>
    <w:rsid w:val="006428AE"/>
    <w:rsid w:val="006432AE"/>
    <w:rsid w:val="0064339B"/>
    <w:rsid w:val="0064483E"/>
    <w:rsid w:val="00645F8D"/>
    <w:rsid w:val="006465F5"/>
    <w:rsid w:val="0065081B"/>
    <w:rsid w:val="0065542D"/>
    <w:rsid w:val="0065608C"/>
    <w:rsid w:val="00656925"/>
    <w:rsid w:val="00660132"/>
    <w:rsid w:val="006612E7"/>
    <w:rsid w:val="0066250B"/>
    <w:rsid w:val="00665FAF"/>
    <w:rsid w:val="00672324"/>
    <w:rsid w:val="00673792"/>
    <w:rsid w:val="00676646"/>
    <w:rsid w:val="00687CBF"/>
    <w:rsid w:val="00691192"/>
    <w:rsid w:val="00693B00"/>
    <w:rsid w:val="00695072"/>
    <w:rsid w:val="00696C79"/>
    <w:rsid w:val="00697495"/>
    <w:rsid w:val="006A12EA"/>
    <w:rsid w:val="006A2182"/>
    <w:rsid w:val="006A5689"/>
    <w:rsid w:val="006A717B"/>
    <w:rsid w:val="006B0A81"/>
    <w:rsid w:val="006B1A56"/>
    <w:rsid w:val="006B3911"/>
    <w:rsid w:val="006B3944"/>
    <w:rsid w:val="006C0211"/>
    <w:rsid w:val="006C057D"/>
    <w:rsid w:val="006C0B4B"/>
    <w:rsid w:val="006C1D46"/>
    <w:rsid w:val="006C24A7"/>
    <w:rsid w:val="006C3FC0"/>
    <w:rsid w:val="006C4D41"/>
    <w:rsid w:val="006C4F73"/>
    <w:rsid w:val="006C79D9"/>
    <w:rsid w:val="006D1107"/>
    <w:rsid w:val="006D1930"/>
    <w:rsid w:val="006D353E"/>
    <w:rsid w:val="006D51AF"/>
    <w:rsid w:val="006E0437"/>
    <w:rsid w:val="006E06B7"/>
    <w:rsid w:val="006E0CC2"/>
    <w:rsid w:val="006E26D8"/>
    <w:rsid w:val="006E5F53"/>
    <w:rsid w:val="006E7A2C"/>
    <w:rsid w:val="006F1CCA"/>
    <w:rsid w:val="006F30E7"/>
    <w:rsid w:val="006F38F7"/>
    <w:rsid w:val="006F540A"/>
    <w:rsid w:val="006F61F2"/>
    <w:rsid w:val="006F66BD"/>
    <w:rsid w:val="007000C3"/>
    <w:rsid w:val="00710B33"/>
    <w:rsid w:val="007139CC"/>
    <w:rsid w:val="00713B18"/>
    <w:rsid w:val="00714C24"/>
    <w:rsid w:val="007154F6"/>
    <w:rsid w:val="00716148"/>
    <w:rsid w:val="00717888"/>
    <w:rsid w:val="00726DD2"/>
    <w:rsid w:val="00727856"/>
    <w:rsid w:val="007324C8"/>
    <w:rsid w:val="00733699"/>
    <w:rsid w:val="00735060"/>
    <w:rsid w:val="007461A0"/>
    <w:rsid w:val="0074668A"/>
    <w:rsid w:val="00746982"/>
    <w:rsid w:val="00753946"/>
    <w:rsid w:val="0075642F"/>
    <w:rsid w:val="007570A6"/>
    <w:rsid w:val="00757288"/>
    <w:rsid w:val="00757B47"/>
    <w:rsid w:val="00757ED4"/>
    <w:rsid w:val="0076120A"/>
    <w:rsid w:val="007632C4"/>
    <w:rsid w:val="00764CB0"/>
    <w:rsid w:val="00765232"/>
    <w:rsid w:val="00766F71"/>
    <w:rsid w:val="007674CC"/>
    <w:rsid w:val="00772050"/>
    <w:rsid w:val="0077597E"/>
    <w:rsid w:val="00777C67"/>
    <w:rsid w:val="00780A2B"/>
    <w:rsid w:val="00781419"/>
    <w:rsid w:val="007912B2"/>
    <w:rsid w:val="00791862"/>
    <w:rsid w:val="007928DE"/>
    <w:rsid w:val="00796666"/>
    <w:rsid w:val="00796D5E"/>
    <w:rsid w:val="0079734D"/>
    <w:rsid w:val="007A1135"/>
    <w:rsid w:val="007A1B73"/>
    <w:rsid w:val="007A1D91"/>
    <w:rsid w:val="007A1F47"/>
    <w:rsid w:val="007A4336"/>
    <w:rsid w:val="007A4F9E"/>
    <w:rsid w:val="007A5F9E"/>
    <w:rsid w:val="007A7A78"/>
    <w:rsid w:val="007B1C39"/>
    <w:rsid w:val="007B1FED"/>
    <w:rsid w:val="007B287C"/>
    <w:rsid w:val="007B6733"/>
    <w:rsid w:val="007B6E87"/>
    <w:rsid w:val="007C4CC5"/>
    <w:rsid w:val="007C6D73"/>
    <w:rsid w:val="007C7F5E"/>
    <w:rsid w:val="007D0C41"/>
    <w:rsid w:val="007D13BB"/>
    <w:rsid w:val="007D145F"/>
    <w:rsid w:val="007D457C"/>
    <w:rsid w:val="007D79C8"/>
    <w:rsid w:val="007D7E4E"/>
    <w:rsid w:val="007E1B48"/>
    <w:rsid w:val="007E2DC3"/>
    <w:rsid w:val="007E3622"/>
    <w:rsid w:val="007E4A4E"/>
    <w:rsid w:val="007F13B7"/>
    <w:rsid w:val="007F2534"/>
    <w:rsid w:val="007F44D5"/>
    <w:rsid w:val="007F5429"/>
    <w:rsid w:val="007F701A"/>
    <w:rsid w:val="007F7515"/>
    <w:rsid w:val="008034DE"/>
    <w:rsid w:val="00803CF1"/>
    <w:rsid w:val="0080583E"/>
    <w:rsid w:val="00806CE2"/>
    <w:rsid w:val="00812664"/>
    <w:rsid w:val="008151B4"/>
    <w:rsid w:val="00817F16"/>
    <w:rsid w:val="008204AE"/>
    <w:rsid w:val="0082151B"/>
    <w:rsid w:val="008219D5"/>
    <w:rsid w:val="00821B87"/>
    <w:rsid w:val="00822888"/>
    <w:rsid w:val="008230D9"/>
    <w:rsid w:val="00823208"/>
    <w:rsid w:val="00825257"/>
    <w:rsid w:val="00826B63"/>
    <w:rsid w:val="00827D45"/>
    <w:rsid w:val="00830581"/>
    <w:rsid w:val="00832A53"/>
    <w:rsid w:val="008335ED"/>
    <w:rsid w:val="00834986"/>
    <w:rsid w:val="00836F30"/>
    <w:rsid w:val="00840378"/>
    <w:rsid w:val="00842FB8"/>
    <w:rsid w:val="00846919"/>
    <w:rsid w:val="00851BC2"/>
    <w:rsid w:val="008521A3"/>
    <w:rsid w:val="00852EE1"/>
    <w:rsid w:val="0085354F"/>
    <w:rsid w:val="00854621"/>
    <w:rsid w:val="008560E4"/>
    <w:rsid w:val="008568D2"/>
    <w:rsid w:val="00856B5B"/>
    <w:rsid w:val="00857BF7"/>
    <w:rsid w:val="00860602"/>
    <w:rsid w:val="00860C0F"/>
    <w:rsid w:val="00861E51"/>
    <w:rsid w:val="00864923"/>
    <w:rsid w:val="00865BDA"/>
    <w:rsid w:val="00867417"/>
    <w:rsid w:val="00867635"/>
    <w:rsid w:val="00870F5E"/>
    <w:rsid w:val="008717D1"/>
    <w:rsid w:val="00872F01"/>
    <w:rsid w:val="008739C5"/>
    <w:rsid w:val="008742B6"/>
    <w:rsid w:val="008765D0"/>
    <w:rsid w:val="008772B6"/>
    <w:rsid w:val="00877437"/>
    <w:rsid w:val="0088023F"/>
    <w:rsid w:val="00881C6C"/>
    <w:rsid w:val="008839E0"/>
    <w:rsid w:val="00884568"/>
    <w:rsid w:val="008848EF"/>
    <w:rsid w:val="00885960"/>
    <w:rsid w:val="008874AD"/>
    <w:rsid w:val="008911A4"/>
    <w:rsid w:val="00891B58"/>
    <w:rsid w:val="00892743"/>
    <w:rsid w:val="008932DA"/>
    <w:rsid w:val="008933A5"/>
    <w:rsid w:val="00893E6C"/>
    <w:rsid w:val="00897748"/>
    <w:rsid w:val="008A01FB"/>
    <w:rsid w:val="008A03DA"/>
    <w:rsid w:val="008A133D"/>
    <w:rsid w:val="008A22E7"/>
    <w:rsid w:val="008A29E5"/>
    <w:rsid w:val="008A4C5D"/>
    <w:rsid w:val="008A51B2"/>
    <w:rsid w:val="008A629B"/>
    <w:rsid w:val="008B2043"/>
    <w:rsid w:val="008B25FE"/>
    <w:rsid w:val="008B3ED3"/>
    <w:rsid w:val="008B5443"/>
    <w:rsid w:val="008B7529"/>
    <w:rsid w:val="008C0AF4"/>
    <w:rsid w:val="008C2235"/>
    <w:rsid w:val="008C2F07"/>
    <w:rsid w:val="008C313F"/>
    <w:rsid w:val="008C50F3"/>
    <w:rsid w:val="008C5E51"/>
    <w:rsid w:val="008C5FB9"/>
    <w:rsid w:val="008C627C"/>
    <w:rsid w:val="008D08DF"/>
    <w:rsid w:val="008D0A5B"/>
    <w:rsid w:val="008D150E"/>
    <w:rsid w:val="008D2323"/>
    <w:rsid w:val="008D45C2"/>
    <w:rsid w:val="008D52A8"/>
    <w:rsid w:val="008D71A0"/>
    <w:rsid w:val="008E1763"/>
    <w:rsid w:val="008E3BDC"/>
    <w:rsid w:val="008F2167"/>
    <w:rsid w:val="008F4C1C"/>
    <w:rsid w:val="008F590D"/>
    <w:rsid w:val="00900292"/>
    <w:rsid w:val="00901794"/>
    <w:rsid w:val="00901F73"/>
    <w:rsid w:val="00904FC1"/>
    <w:rsid w:val="009062B6"/>
    <w:rsid w:val="00907228"/>
    <w:rsid w:val="00911FCD"/>
    <w:rsid w:val="00914D03"/>
    <w:rsid w:val="00923A46"/>
    <w:rsid w:val="00925D16"/>
    <w:rsid w:val="00927344"/>
    <w:rsid w:val="00927381"/>
    <w:rsid w:val="009275FC"/>
    <w:rsid w:val="0093078D"/>
    <w:rsid w:val="00931EA7"/>
    <w:rsid w:val="00932CFA"/>
    <w:rsid w:val="00935B1C"/>
    <w:rsid w:val="00937A4B"/>
    <w:rsid w:val="00937EE0"/>
    <w:rsid w:val="00946490"/>
    <w:rsid w:val="0094735F"/>
    <w:rsid w:val="00951B06"/>
    <w:rsid w:val="00952E22"/>
    <w:rsid w:val="009537E0"/>
    <w:rsid w:val="00953BC3"/>
    <w:rsid w:val="00954E8A"/>
    <w:rsid w:val="009562BD"/>
    <w:rsid w:val="00956408"/>
    <w:rsid w:val="00960526"/>
    <w:rsid w:val="00961200"/>
    <w:rsid w:val="00961366"/>
    <w:rsid w:val="00961A36"/>
    <w:rsid w:val="00962BD8"/>
    <w:rsid w:val="009667DE"/>
    <w:rsid w:val="00971E28"/>
    <w:rsid w:val="00975E85"/>
    <w:rsid w:val="009764EE"/>
    <w:rsid w:val="00976A73"/>
    <w:rsid w:val="00977882"/>
    <w:rsid w:val="00980849"/>
    <w:rsid w:val="00980A44"/>
    <w:rsid w:val="00981A69"/>
    <w:rsid w:val="009834B4"/>
    <w:rsid w:val="0098479A"/>
    <w:rsid w:val="00984D24"/>
    <w:rsid w:val="0098514C"/>
    <w:rsid w:val="0098741C"/>
    <w:rsid w:val="00991FE6"/>
    <w:rsid w:val="009925B8"/>
    <w:rsid w:val="0099446F"/>
    <w:rsid w:val="009945FC"/>
    <w:rsid w:val="009948D4"/>
    <w:rsid w:val="00996666"/>
    <w:rsid w:val="00997ECB"/>
    <w:rsid w:val="009A03F6"/>
    <w:rsid w:val="009A10EF"/>
    <w:rsid w:val="009A2FFB"/>
    <w:rsid w:val="009A39DF"/>
    <w:rsid w:val="009A4AB5"/>
    <w:rsid w:val="009A4F12"/>
    <w:rsid w:val="009A58B6"/>
    <w:rsid w:val="009A76A9"/>
    <w:rsid w:val="009B063F"/>
    <w:rsid w:val="009B249E"/>
    <w:rsid w:val="009B67F9"/>
    <w:rsid w:val="009B79EE"/>
    <w:rsid w:val="009C4ECE"/>
    <w:rsid w:val="009C5A0C"/>
    <w:rsid w:val="009C6282"/>
    <w:rsid w:val="009C7D3B"/>
    <w:rsid w:val="009D2E6C"/>
    <w:rsid w:val="009D5593"/>
    <w:rsid w:val="009D5CDF"/>
    <w:rsid w:val="009E25A8"/>
    <w:rsid w:val="009E3876"/>
    <w:rsid w:val="009E5DDF"/>
    <w:rsid w:val="009E62EE"/>
    <w:rsid w:val="009E7179"/>
    <w:rsid w:val="009E763E"/>
    <w:rsid w:val="009F06FF"/>
    <w:rsid w:val="009F28A4"/>
    <w:rsid w:val="009F3563"/>
    <w:rsid w:val="00A001E2"/>
    <w:rsid w:val="00A031F5"/>
    <w:rsid w:val="00A07D6F"/>
    <w:rsid w:val="00A125A3"/>
    <w:rsid w:val="00A126B2"/>
    <w:rsid w:val="00A128F2"/>
    <w:rsid w:val="00A12AD8"/>
    <w:rsid w:val="00A13B5D"/>
    <w:rsid w:val="00A13E27"/>
    <w:rsid w:val="00A1654E"/>
    <w:rsid w:val="00A20008"/>
    <w:rsid w:val="00A213B6"/>
    <w:rsid w:val="00A21948"/>
    <w:rsid w:val="00A21E51"/>
    <w:rsid w:val="00A24054"/>
    <w:rsid w:val="00A24319"/>
    <w:rsid w:val="00A26C6A"/>
    <w:rsid w:val="00A306B0"/>
    <w:rsid w:val="00A31AC2"/>
    <w:rsid w:val="00A33335"/>
    <w:rsid w:val="00A3350C"/>
    <w:rsid w:val="00A3541E"/>
    <w:rsid w:val="00A37815"/>
    <w:rsid w:val="00A44BC6"/>
    <w:rsid w:val="00A46210"/>
    <w:rsid w:val="00A466B1"/>
    <w:rsid w:val="00A5155B"/>
    <w:rsid w:val="00A52824"/>
    <w:rsid w:val="00A55A32"/>
    <w:rsid w:val="00A5640E"/>
    <w:rsid w:val="00A56EF8"/>
    <w:rsid w:val="00A62096"/>
    <w:rsid w:val="00A65198"/>
    <w:rsid w:val="00A659DC"/>
    <w:rsid w:val="00A660D9"/>
    <w:rsid w:val="00A66E4D"/>
    <w:rsid w:val="00A67138"/>
    <w:rsid w:val="00A73262"/>
    <w:rsid w:val="00A74485"/>
    <w:rsid w:val="00A74DA7"/>
    <w:rsid w:val="00A758D5"/>
    <w:rsid w:val="00A759F4"/>
    <w:rsid w:val="00A80AE4"/>
    <w:rsid w:val="00A836E8"/>
    <w:rsid w:val="00A85588"/>
    <w:rsid w:val="00A86F7D"/>
    <w:rsid w:val="00A87157"/>
    <w:rsid w:val="00A92CA3"/>
    <w:rsid w:val="00A95BFD"/>
    <w:rsid w:val="00A95E11"/>
    <w:rsid w:val="00A97A45"/>
    <w:rsid w:val="00AA10CF"/>
    <w:rsid w:val="00AA2C7F"/>
    <w:rsid w:val="00AA30FF"/>
    <w:rsid w:val="00AA3618"/>
    <w:rsid w:val="00AA37DB"/>
    <w:rsid w:val="00AA4FCE"/>
    <w:rsid w:val="00AA6F19"/>
    <w:rsid w:val="00AB2558"/>
    <w:rsid w:val="00AB7EE4"/>
    <w:rsid w:val="00AB7F6B"/>
    <w:rsid w:val="00AC072B"/>
    <w:rsid w:val="00AC0E3F"/>
    <w:rsid w:val="00AC0FAC"/>
    <w:rsid w:val="00AC30E4"/>
    <w:rsid w:val="00AC583D"/>
    <w:rsid w:val="00AC594E"/>
    <w:rsid w:val="00AD1E5B"/>
    <w:rsid w:val="00AD22B2"/>
    <w:rsid w:val="00AD4CB7"/>
    <w:rsid w:val="00AD6880"/>
    <w:rsid w:val="00AD6FA0"/>
    <w:rsid w:val="00AE54D3"/>
    <w:rsid w:val="00AE6121"/>
    <w:rsid w:val="00AF0173"/>
    <w:rsid w:val="00AF149E"/>
    <w:rsid w:val="00AF1B55"/>
    <w:rsid w:val="00AF2445"/>
    <w:rsid w:val="00AF382D"/>
    <w:rsid w:val="00AF66F4"/>
    <w:rsid w:val="00AF718C"/>
    <w:rsid w:val="00B04A37"/>
    <w:rsid w:val="00B05122"/>
    <w:rsid w:val="00B10391"/>
    <w:rsid w:val="00B121E0"/>
    <w:rsid w:val="00B12699"/>
    <w:rsid w:val="00B12F30"/>
    <w:rsid w:val="00B23D15"/>
    <w:rsid w:val="00B23EB2"/>
    <w:rsid w:val="00B23FCB"/>
    <w:rsid w:val="00B26E04"/>
    <w:rsid w:val="00B27D2A"/>
    <w:rsid w:val="00B27E12"/>
    <w:rsid w:val="00B31100"/>
    <w:rsid w:val="00B31578"/>
    <w:rsid w:val="00B31591"/>
    <w:rsid w:val="00B31E2C"/>
    <w:rsid w:val="00B321E8"/>
    <w:rsid w:val="00B336CC"/>
    <w:rsid w:val="00B36D15"/>
    <w:rsid w:val="00B377FA"/>
    <w:rsid w:val="00B435A8"/>
    <w:rsid w:val="00B4650C"/>
    <w:rsid w:val="00B466E5"/>
    <w:rsid w:val="00B47C46"/>
    <w:rsid w:val="00B50041"/>
    <w:rsid w:val="00B50A06"/>
    <w:rsid w:val="00B54B6B"/>
    <w:rsid w:val="00B55667"/>
    <w:rsid w:val="00B55936"/>
    <w:rsid w:val="00B56CE2"/>
    <w:rsid w:val="00B57019"/>
    <w:rsid w:val="00B610C8"/>
    <w:rsid w:val="00B6169C"/>
    <w:rsid w:val="00B619B6"/>
    <w:rsid w:val="00B62C54"/>
    <w:rsid w:val="00B62E1F"/>
    <w:rsid w:val="00B66443"/>
    <w:rsid w:val="00B71716"/>
    <w:rsid w:val="00B71746"/>
    <w:rsid w:val="00B73679"/>
    <w:rsid w:val="00B76AC9"/>
    <w:rsid w:val="00B77D2A"/>
    <w:rsid w:val="00B81DF6"/>
    <w:rsid w:val="00B826AB"/>
    <w:rsid w:val="00B855C9"/>
    <w:rsid w:val="00B85F6A"/>
    <w:rsid w:val="00B8616C"/>
    <w:rsid w:val="00B87DA8"/>
    <w:rsid w:val="00B92FAE"/>
    <w:rsid w:val="00B9316C"/>
    <w:rsid w:val="00B93731"/>
    <w:rsid w:val="00B94427"/>
    <w:rsid w:val="00B9471B"/>
    <w:rsid w:val="00B97400"/>
    <w:rsid w:val="00BA2462"/>
    <w:rsid w:val="00BA3122"/>
    <w:rsid w:val="00BA4950"/>
    <w:rsid w:val="00BA6D17"/>
    <w:rsid w:val="00BB1A46"/>
    <w:rsid w:val="00BB4566"/>
    <w:rsid w:val="00BB462D"/>
    <w:rsid w:val="00BC29BE"/>
    <w:rsid w:val="00BC42C7"/>
    <w:rsid w:val="00BC4D9A"/>
    <w:rsid w:val="00BC5A63"/>
    <w:rsid w:val="00BC64CF"/>
    <w:rsid w:val="00BD0B34"/>
    <w:rsid w:val="00BD6321"/>
    <w:rsid w:val="00BD70ED"/>
    <w:rsid w:val="00BD7879"/>
    <w:rsid w:val="00BE1432"/>
    <w:rsid w:val="00BE2E3E"/>
    <w:rsid w:val="00BE3D78"/>
    <w:rsid w:val="00BE52DB"/>
    <w:rsid w:val="00BE5AE7"/>
    <w:rsid w:val="00BE612A"/>
    <w:rsid w:val="00BF003D"/>
    <w:rsid w:val="00BF3B3C"/>
    <w:rsid w:val="00BF7962"/>
    <w:rsid w:val="00C017EC"/>
    <w:rsid w:val="00C0544A"/>
    <w:rsid w:val="00C06C8D"/>
    <w:rsid w:val="00C11136"/>
    <w:rsid w:val="00C14076"/>
    <w:rsid w:val="00C14CD0"/>
    <w:rsid w:val="00C1618C"/>
    <w:rsid w:val="00C162EA"/>
    <w:rsid w:val="00C202A1"/>
    <w:rsid w:val="00C31FB7"/>
    <w:rsid w:val="00C34743"/>
    <w:rsid w:val="00C35E74"/>
    <w:rsid w:val="00C425AE"/>
    <w:rsid w:val="00C430C0"/>
    <w:rsid w:val="00C432A9"/>
    <w:rsid w:val="00C434FD"/>
    <w:rsid w:val="00C44E1F"/>
    <w:rsid w:val="00C45104"/>
    <w:rsid w:val="00C45CD8"/>
    <w:rsid w:val="00C4643F"/>
    <w:rsid w:val="00C47779"/>
    <w:rsid w:val="00C47A54"/>
    <w:rsid w:val="00C51531"/>
    <w:rsid w:val="00C52735"/>
    <w:rsid w:val="00C55730"/>
    <w:rsid w:val="00C65C38"/>
    <w:rsid w:val="00C6669F"/>
    <w:rsid w:val="00C70409"/>
    <w:rsid w:val="00C71F2D"/>
    <w:rsid w:val="00C733B0"/>
    <w:rsid w:val="00C73BBC"/>
    <w:rsid w:val="00C75162"/>
    <w:rsid w:val="00C82B59"/>
    <w:rsid w:val="00C834A4"/>
    <w:rsid w:val="00C8447E"/>
    <w:rsid w:val="00C84793"/>
    <w:rsid w:val="00C84B69"/>
    <w:rsid w:val="00C84FA9"/>
    <w:rsid w:val="00C858CB"/>
    <w:rsid w:val="00C87A44"/>
    <w:rsid w:val="00C9015B"/>
    <w:rsid w:val="00C949CD"/>
    <w:rsid w:val="00C958FE"/>
    <w:rsid w:val="00CA0187"/>
    <w:rsid w:val="00CA11E5"/>
    <w:rsid w:val="00CA2073"/>
    <w:rsid w:val="00CA360F"/>
    <w:rsid w:val="00CA56B1"/>
    <w:rsid w:val="00CA69AC"/>
    <w:rsid w:val="00CA6A23"/>
    <w:rsid w:val="00CA6D95"/>
    <w:rsid w:val="00CB04D1"/>
    <w:rsid w:val="00CB1526"/>
    <w:rsid w:val="00CB16B0"/>
    <w:rsid w:val="00CB7285"/>
    <w:rsid w:val="00CC42F7"/>
    <w:rsid w:val="00CC6A65"/>
    <w:rsid w:val="00CC733E"/>
    <w:rsid w:val="00CD1A22"/>
    <w:rsid w:val="00CD2554"/>
    <w:rsid w:val="00CD4071"/>
    <w:rsid w:val="00CD478F"/>
    <w:rsid w:val="00CD48DE"/>
    <w:rsid w:val="00CD5F68"/>
    <w:rsid w:val="00CD7726"/>
    <w:rsid w:val="00CE2F33"/>
    <w:rsid w:val="00CE44B6"/>
    <w:rsid w:val="00CE6F87"/>
    <w:rsid w:val="00CF537B"/>
    <w:rsid w:val="00CF5FE3"/>
    <w:rsid w:val="00D0032F"/>
    <w:rsid w:val="00D0113A"/>
    <w:rsid w:val="00D04CE4"/>
    <w:rsid w:val="00D05836"/>
    <w:rsid w:val="00D06A99"/>
    <w:rsid w:val="00D10CE9"/>
    <w:rsid w:val="00D15185"/>
    <w:rsid w:val="00D17D05"/>
    <w:rsid w:val="00D21FC3"/>
    <w:rsid w:val="00D24539"/>
    <w:rsid w:val="00D25952"/>
    <w:rsid w:val="00D25C1F"/>
    <w:rsid w:val="00D261AF"/>
    <w:rsid w:val="00D2654A"/>
    <w:rsid w:val="00D30282"/>
    <w:rsid w:val="00D3152E"/>
    <w:rsid w:val="00D34F05"/>
    <w:rsid w:val="00D356E1"/>
    <w:rsid w:val="00D36753"/>
    <w:rsid w:val="00D367D5"/>
    <w:rsid w:val="00D37B08"/>
    <w:rsid w:val="00D37B42"/>
    <w:rsid w:val="00D37B4C"/>
    <w:rsid w:val="00D4073D"/>
    <w:rsid w:val="00D445CC"/>
    <w:rsid w:val="00D461E0"/>
    <w:rsid w:val="00D4659A"/>
    <w:rsid w:val="00D467A7"/>
    <w:rsid w:val="00D501E3"/>
    <w:rsid w:val="00D52A3A"/>
    <w:rsid w:val="00D556E0"/>
    <w:rsid w:val="00D5579A"/>
    <w:rsid w:val="00D65642"/>
    <w:rsid w:val="00D65C84"/>
    <w:rsid w:val="00D67517"/>
    <w:rsid w:val="00D67B99"/>
    <w:rsid w:val="00D705CD"/>
    <w:rsid w:val="00D714AD"/>
    <w:rsid w:val="00D7255B"/>
    <w:rsid w:val="00D73FBF"/>
    <w:rsid w:val="00D751CD"/>
    <w:rsid w:val="00D75593"/>
    <w:rsid w:val="00D76AD0"/>
    <w:rsid w:val="00D802D4"/>
    <w:rsid w:val="00D8140A"/>
    <w:rsid w:val="00D82AD5"/>
    <w:rsid w:val="00D83764"/>
    <w:rsid w:val="00D83C55"/>
    <w:rsid w:val="00D842B1"/>
    <w:rsid w:val="00D845DD"/>
    <w:rsid w:val="00D86714"/>
    <w:rsid w:val="00D903A7"/>
    <w:rsid w:val="00D90599"/>
    <w:rsid w:val="00D9266F"/>
    <w:rsid w:val="00D93855"/>
    <w:rsid w:val="00D93AA8"/>
    <w:rsid w:val="00D941CF"/>
    <w:rsid w:val="00D95E3F"/>
    <w:rsid w:val="00D965AA"/>
    <w:rsid w:val="00D96C83"/>
    <w:rsid w:val="00DA2718"/>
    <w:rsid w:val="00DA4336"/>
    <w:rsid w:val="00DA4F0B"/>
    <w:rsid w:val="00DA530B"/>
    <w:rsid w:val="00DA55D1"/>
    <w:rsid w:val="00DA6D54"/>
    <w:rsid w:val="00DB1938"/>
    <w:rsid w:val="00DB2561"/>
    <w:rsid w:val="00DB2656"/>
    <w:rsid w:val="00DB4BFA"/>
    <w:rsid w:val="00DC06BC"/>
    <w:rsid w:val="00DC23A7"/>
    <w:rsid w:val="00DC2826"/>
    <w:rsid w:val="00DC493D"/>
    <w:rsid w:val="00DC726B"/>
    <w:rsid w:val="00DD0308"/>
    <w:rsid w:val="00DD748E"/>
    <w:rsid w:val="00DE5A0A"/>
    <w:rsid w:val="00DE6D01"/>
    <w:rsid w:val="00DF0E9A"/>
    <w:rsid w:val="00DF1C51"/>
    <w:rsid w:val="00DF55D0"/>
    <w:rsid w:val="00DF726C"/>
    <w:rsid w:val="00E00036"/>
    <w:rsid w:val="00E00533"/>
    <w:rsid w:val="00E0309A"/>
    <w:rsid w:val="00E06AFB"/>
    <w:rsid w:val="00E11CC5"/>
    <w:rsid w:val="00E13CF6"/>
    <w:rsid w:val="00E15A95"/>
    <w:rsid w:val="00E15E73"/>
    <w:rsid w:val="00E16105"/>
    <w:rsid w:val="00E17456"/>
    <w:rsid w:val="00E17E6C"/>
    <w:rsid w:val="00E2181B"/>
    <w:rsid w:val="00E23E60"/>
    <w:rsid w:val="00E253DF"/>
    <w:rsid w:val="00E25C94"/>
    <w:rsid w:val="00E26010"/>
    <w:rsid w:val="00E27032"/>
    <w:rsid w:val="00E30F74"/>
    <w:rsid w:val="00E3483C"/>
    <w:rsid w:val="00E3494C"/>
    <w:rsid w:val="00E35C6B"/>
    <w:rsid w:val="00E36204"/>
    <w:rsid w:val="00E37DC7"/>
    <w:rsid w:val="00E400BF"/>
    <w:rsid w:val="00E40165"/>
    <w:rsid w:val="00E43F24"/>
    <w:rsid w:val="00E4447F"/>
    <w:rsid w:val="00E5089C"/>
    <w:rsid w:val="00E56961"/>
    <w:rsid w:val="00E61905"/>
    <w:rsid w:val="00E64928"/>
    <w:rsid w:val="00E65480"/>
    <w:rsid w:val="00E65E41"/>
    <w:rsid w:val="00E661A7"/>
    <w:rsid w:val="00E72CBF"/>
    <w:rsid w:val="00E74414"/>
    <w:rsid w:val="00E757DE"/>
    <w:rsid w:val="00E7721D"/>
    <w:rsid w:val="00E81155"/>
    <w:rsid w:val="00E82095"/>
    <w:rsid w:val="00E82BA6"/>
    <w:rsid w:val="00E839D1"/>
    <w:rsid w:val="00E922C0"/>
    <w:rsid w:val="00E936D5"/>
    <w:rsid w:val="00E94962"/>
    <w:rsid w:val="00E949A1"/>
    <w:rsid w:val="00E950E9"/>
    <w:rsid w:val="00E97936"/>
    <w:rsid w:val="00E97E65"/>
    <w:rsid w:val="00EA1290"/>
    <w:rsid w:val="00EA1A7B"/>
    <w:rsid w:val="00EA285D"/>
    <w:rsid w:val="00EA2E6E"/>
    <w:rsid w:val="00EA3D23"/>
    <w:rsid w:val="00EB0540"/>
    <w:rsid w:val="00EB385C"/>
    <w:rsid w:val="00EB4ADE"/>
    <w:rsid w:val="00EB5369"/>
    <w:rsid w:val="00EB63E1"/>
    <w:rsid w:val="00EB64AC"/>
    <w:rsid w:val="00EC0D16"/>
    <w:rsid w:val="00EC22F6"/>
    <w:rsid w:val="00EC30F1"/>
    <w:rsid w:val="00EC4FE7"/>
    <w:rsid w:val="00ED1B83"/>
    <w:rsid w:val="00ED275B"/>
    <w:rsid w:val="00ED5A9F"/>
    <w:rsid w:val="00ED634B"/>
    <w:rsid w:val="00ED6900"/>
    <w:rsid w:val="00EE0022"/>
    <w:rsid w:val="00EE0AF8"/>
    <w:rsid w:val="00EE1A7A"/>
    <w:rsid w:val="00EE217E"/>
    <w:rsid w:val="00EE2370"/>
    <w:rsid w:val="00EE4556"/>
    <w:rsid w:val="00EE4F2B"/>
    <w:rsid w:val="00EE5FB6"/>
    <w:rsid w:val="00EE736C"/>
    <w:rsid w:val="00EE7DA4"/>
    <w:rsid w:val="00EF0882"/>
    <w:rsid w:val="00EF230A"/>
    <w:rsid w:val="00EF69C7"/>
    <w:rsid w:val="00EF715A"/>
    <w:rsid w:val="00EF73F5"/>
    <w:rsid w:val="00EF7531"/>
    <w:rsid w:val="00F01327"/>
    <w:rsid w:val="00F01662"/>
    <w:rsid w:val="00F02D1B"/>
    <w:rsid w:val="00F045C2"/>
    <w:rsid w:val="00F05BDA"/>
    <w:rsid w:val="00F06EA4"/>
    <w:rsid w:val="00F11C75"/>
    <w:rsid w:val="00F13B00"/>
    <w:rsid w:val="00F16DDF"/>
    <w:rsid w:val="00F17E74"/>
    <w:rsid w:val="00F21556"/>
    <w:rsid w:val="00F2367C"/>
    <w:rsid w:val="00F25126"/>
    <w:rsid w:val="00F27870"/>
    <w:rsid w:val="00F30C27"/>
    <w:rsid w:val="00F3155F"/>
    <w:rsid w:val="00F31CDC"/>
    <w:rsid w:val="00F33B53"/>
    <w:rsid w:val="00F3591C"/>
    <w:rsid w:val="00F37C26"/>
    <w:rsid w:val="00F4068F"/>
    <w:rsid w:val="00F4103D"/>
    <w:rsid w:val="00F42D40"/>
    <w:rsid w:val="00F4729F"/>
    <w:rsid w:val="00F513C4"/>
    <w:rsid w:val="00F549CC"/>
    <w:rsid w:val="00F552A4"/>
    <w:rsid w:val="00F626B1"/>
    <w:rsid w:val="00F62F88"/>
    <w:rsid w:val="00F63F02"/>
    <w:rsid w:val="00F650B3"/>
    <w:rsid w:val="00F65694"/>
    <w:rsid w:val="00F65839"/>
    <w:rsid w:val="00F65C35"/>
    <w:rsid w:val="00F65E86"/>
    <w:rsid w:val="00F71DB3"/>
    <w:rsid w:val="00F72CCD"/>
    <w:rsid w:val="00F739CE"/>
    <w:rsid w:val="00F76488"/>
    <w:rsid w:val="00F76F9F"/>
    <w:rsid w:val="00F771CA"/>
    <w:rsid w:val="00F81A4E"/>
    <w:rsid w:val="00F82332"/>
    <w:rsid w:val="00F83440"/>
    <w:rsid w:val="00F93575"/>
    <w:rsid w:val="00F96D0C"/>
    <w:rsid w:val="00FA0266"/>
    <w:rsid w:val="00FA2493"/>
    <w:rsid w:val="00FA24AF"/>
    <w:rsid w:val="00FA28FB"/>
    <w:rsid w:val="00FA3CBA"/>
    <w:rsid w:val="00FA688E"/>
    <w:rsid w:val="00FA6E9D"/>
    <w:rsid w:val="00FA76F7"/>
    <w:rsid w:val="00FA7FC9"/>
    <w:rsid w:val="00FB28DE"/>
    <w:rsid w:val="00FB33B8"/>
    <w:rsid w:val="00FB74DC"/>
    <w:rsid w:val="00FB7C81"/>
    <w:rsid w:val="00FC0DCB"/>
    <w:rsid w:val="00FC1045"/>
    <w:rsid w:val="00FC1FFF"/>
    <w:rsid w:val="00FC334A"/>
    <w:rsid w:val="00FC404D"/>
    <w:rsid w:val="00FC4D11"/>
    <w:rsid w:val="00FC5186"/>
    <w:rsid w:val="00FC53A2"/>
    <w:rsid w:val="00FC7247"/>
    <w:rsid w:val="00FD07B4"/>
    <w:rsid w:val="00FD1954"/>
    <w:rsid w:val="00FD20A1"/>
    <w:rsid w:val="00FD28F1"/>
    <w:rsid w:val="00FD2DF7"/>
    <w:rsid w:val="00FD553A"/>
    <w:rsid w:val="00FD56F6"/>
    <w:rsid w:val="00FD7C77"/>
    <w:rsid w:val="00FE02F8"/>
    <w:rsid w:val="00FE08C9"/>
    <w:rsid w:val="00FE0F8B"/>
    <w:rsid w:val="00FE3667"/>
    <w:rsid w:val="00FE5590"/>
    <w:rsid w:val="00FE6285"/>
    <w:rsid w:val="00FF1EFC"/>
    <w:rsid w:val="00FF3E2A"/>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01F0B"/>
  <w15:docId w15:val="{F758B1C0-0886-4B08-B62F-8AA4BCD2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8DE"/>
    <w:rPr>
      <w:color w:val="0000FF" w:themeColor="hyperlink"/>
      <w:u w:val="single"/>
    </w:rPr>
  </w:style>
  <w:style w:type="paragraph" w:styleId="BodyText">
    <w:name w:val="Body Text"/>
    <w:basedOn w:val="Normal"/>
    <w:link w:val="BodyTextChar"/>
    <w:uiPriority w:val="99"/>
    <w:semiHidden/>
    <w:unhideWhenUsed/>
    <w:rsid w:val="007928DE"/>
  </w:style>
  <w:style w:type="character" w:customStyle="1" w:styleId="BodyTextChar">
    <w:name w:val="Body Text Char"/>
    <w:basedOn w:val="DefaultParagraphFont"/>
    <w:link w:val="BodyText"/>
    <w:uiPriority w:val="99"/>
    <w:semiHidden/>
    <w:rsid w:val="007928DE"/>
  </w:style>
  <w:style w:type="paragraph" w:styleId="NormalWeb">
    <w:name w:val="Normal (Web)"/>
    <w:aliases w:val="Char Char,Normal (Web) Char1,Char8 Char,Char8,webb,Обычный (веб)1,Обычный (веб) Знак,Обычный (веб) Знак1,Обычный (веб) Знак Знак,표준 (웹),Char Char5,Char Char Char Char Char Char Char Char Char Char Char Char,Char Char Char1, Char Char25"/>
    <w:basedOn w:val="Normal"/>
    <w:link w:val="NormalWebChar"/>
    <w:uiPriority w:val="99"/>
    <w:unhideWhenUsed/>
    <w:qFormat/>
    <w:rsid w:val="00F63F02"/>
    <w:rPr>
      <w:sz w:val="24"/>
    </w:rPr>
  </w:style>
  <w:style w:type="paragraph" w:styleId="Header">
    <w:name w:val="header"/>
    <w:basedOn w:val="Normal"/>
    <w:link w:val="HeaderChar"/>
    <w:uiPriority w:val="99"/>
    <w:unhideWhenUsed/>
    <w:rsid w:val="00044FBF"/>
    <w:pPr>
      <w:tabs>
        <w:tab w:val="center" w:pos="4680"/>
        <w:tab w:val="right" w:pos="9360"/>
      </w:tabs>
      <w:spacing w:before="0" w:after="0"/>
    </w:pPr>
  </w:style>
  <w:style w:type="character" w:customStyle="1" w:styleId="HeaderChar">
    <w:name w:val="Header Char"/>
    <w:basedOn w:val="DefaultParagraphFont"/>
    <w:link w:val="Header"/>
    <w:uiPriority w:val="99"/>
    <w:rsid w:val="00044FBF"/>
  </w:style>
  <w:style w:type="paragraph" w:styleId="Footer">
    <w:name w:val="footer"/>
    <w:basedOn w:val="Normal"/>
    <w:link w:val="FooterChar"/>
    <w:uiPriority w:val="99"/>
    <w:unhideWhenUsed/>
    <w:rsid w:val="00044FBF"/>
    <w:pPr>
      <w:tabs>
        <w:tab w:val="center" w:pos="4680"/>
        <w:tab w:val="right" w:pos="9360"/>
      </w:tabs>
      <w:spacing w:before="0" w:after="0"/>
    </w:pPr>
  </w:style>
  <w:style w:type="character" w:customStyle="1" w:styleId="FooterChar">
    <w:name w:val="Footer Char"/>
    <w:basedOn w:val="DefaultParagraphFont"/>
    <w:link w:val="Footer"/>
    <w:uiPriority w:val="99"/>
    <w:rsid w:val="00044FBF"/>
  </w:style>
  <w:style w:type="paragraph" w:styleId="ListParagraph">
    <w:name w:val="List Paragraph"/>
    <w:basedOn w:val="Normal"/>
    <w:uiPriority w:val="34"/>
    <w:qFormat/>
    <w:rsid w:val="00E661A7"/>
    <w:pPr>
      <w:ind w:left="720"/>
      <w:contextualSpacing/>
    </w:pPr>
  </w:style>
  <w:style w:type="paragraph" w:customStyle="1" w:styleId="p1">
    <w:name w:val="p1"/>
    <w:basedOn w:val="Normal"/>
    <w:rsid w:val="00F71DB3"/>
    <w:pPr>
      <w:spacing w:before="0" w:after="0"/>
    </w:pPr>
    <w:rPr>
      <w:rFonts w:ascii=".AppleSystemUIFont" w:eastAsiaTheme="minorEastAsia" w:hAnsi=".AppleSystemUIFont"/>
      <w:szCs w:val="28"/>
    </w:rPr>
  </w:style>
  <w:style w:type="paragraph" w:styleId="BalloonText">
    <w:name w:val="Balloon Text"/>
    <w:basedOn w:val="Normal"/>
    <w:link w:val="BalloonTextChar"/>
    <w:uiPriority w:val="99"/>
    <w:semiHidden/>
    <w:unhideWhenUsed/>
    <w:rsid w:val="00292FD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FD4"/>
    <w:rPr>
      <w:rFonts w:ascii="Tahoma" w:hAnsi="Tahoma" w:cs="Tahoma"/>
      <w:sz w:val="16"/>
      <w:szCs w:val="16"/>
    </w:rPr>
  </w:style>
  <w:style w:type="paragraph" w:styleId="FootnoteText">
    <w:name w:val="footnote text"/>
    <w:basedOn w:val="Normal"/>
    <w:link w:val="FootnoteTextChar"/>
    <w:unhideWhenUsed/>
    <w:rsid w:val="004950BA"/>
    <w:pPr>
      <w:spacing w:before="0" w:after="0"/>
    </w:pPr>
    <w:rPr>
      <w:sz w:val="20"/>
      <w:szCs w:val="20"/>
    </w:rPr>
  </w:style>
  <w:style w:type="character" w:customStyle="1" w:styleId="FootnoteTextChar">
    <w:name w:val="Footnote Text Char"/>
    <w:basedOn w:val="DefaultParagraphFont"/>
    <w:link w:val="FootnoteText"/>
    <w:rsid w:val="004950BA"/>
    <w:rPr>
      <w:sz w:val="20"/>
      <w:szCs w:val="20"/>
    </w:rPr>
  </w:style>
  <w:style w:type="character" w:styleId="FootnoteReference">
    <w:name w:val="footnote reference"/>
    <w:basedOn w:val="DefaultParagraphFont"/>
    <w:unhideWhenUsed/>
    <w:rsid w:val="004950BA"/>
    <w:rPr>
      <w:vertAlign w:val="superscript"/>
    </w:rPr>
  </w:style>
  <w:style w:type="character" w:customStyle="1" w:styleId="n-dieund-h1">
    <w:name w:val="n-dieund-h1"/>
    <w:basedOn w:val="DefaultParagraphFont"/>
    <w:uiPriority w:val="99"/>
    <w:rsid w:val="00B81DF6"/>
  </w:style>
  <w:style w:type="paragraph" w:customStyle="1" w:styleId="n-dieund">
    <w:name w:val="n-dieund"/>
    <w:basedOn w:val="Normal"/>
    <w:rsid w:val="00FC5186"/>
    <w:pPr>
      <w:spacing w:before="0"/>
      <w:ind w:firstLine="709"/>
      <w:jc w:val="both"/>
    </w:pPr>
    <w:rPr>
      <w:rFonts w:ascii=".VnTime" w:eastAsia="Times New Roman" w:hAnsi=".VnTime"/>
      <w:szCs w:val="20"/>
    </w:rPr>
  </w:style>
  <w:style w:type="character" w:customStyle="1" w:styleId="normal-h1">
    <w:name w:val="normal-h1"/>
    <w:basedOn w:val="DefaultParagraphFont"/>
    <w:uiPriority w:val="99"/>
    <w:rsid w:val="00141F58"/>
    <w:rPr>
      <w:rFonts w:ascii=".VnTime" w:hAnsi=".VnTime" w:hint="default"/>
      <w:color w:val="0000FF"/>
      <w:sz w:val="24"/>
      <w:szCs w:val="24"/>
    </w:rPr>
  </w:style>
  <w:style w:type="character" w:styleId="Strong">
    <w:name w:val="Strong"/>
    <w:basedOn w:val="DefaultParagraphFont"/>
    <w:uiPriority w:val="22"/>
    <w:qFormat/>
    <w:rsid w:val="002B0187"/>
    <w:rPr>
      <w:b/>
      <w:bCs/>
    </w:rPr>
  </w:style>
  <w:style w:type="character" w:styleId="CommentReference">
    <w:name w:val="annotation reference"/>
    <w:basedOn w:val="DefaultParagraphFont"/>
    <w:rsid w:val="00C958FE"/>
    <w:rPr>
      <w:sz w:val="16"/>
      <w:szCs w:val="16"/>
    </w:rPr>
  </w:style>
  <w:style w:type="paragraph" w:styleId="CommentText">
    <w:name w:val="annotation text"/>
    <w:basedOn w:val="Normal"/>
    <w:link w:val="CommentTextChar"/>
    <w:uiPriority w:val="99"/>
    <w:semiHidden/>
    <w:unhideWhenUsed/>
    <w:rsid w:val="00AF66F4"/>
    <w:rPr>
      <w:sz w:val="20"/>
      <w:szCs w:val="20"/>
    </w:rPr>
  </w:style>
  <w:style w:type="character" w:customStyle="1" w:styleId="CommentTextChar">
    <w:name w:val="Comment Text Char"/>
    <w:basedOn w:val="DefaultParagraphFont"/>
    <w:link w:val="CommentText"/>
    <w:uiPriority w:val="99"/>
    <w:semiHidden/>
    <w:rsid w:val="00AF66F4"/>
    <w:rPr>
      <w:sz w:val="20"/>
      <w:szCs w:val="20"/>
    </w:rPr>
  </w:style>
  <w:style w:type="character" w:customStyle="1" w:styleId="NormalWebChar">
    <w:name w:val="Normal (Web) Char"/>
    <w:aliases w:val="Char Char Char,Normal (Web) Char1 Char,Char8 Char Char,Char8 Char1,webb Char,Обычный (веб)1 Char,Обычный (веб) Знак Char,Обычный (веб) Знак1 Char,Обычный (веб) Знак Знак Char,표준 (웹) Char,Char Char5 Char,Char Char Char1 Char"/>
    <w:link w:val="NormalWeb"/>
    <w:uiPriority w:val="99"/>
    <w:locked/>
    <w:rsid w:val="00BD70ED"/>
    <w:rPr>
      <w:sz w:val="24"/>
    </w:rPr>
  </w:style>
  <w:style w:type="paragraph" w:customStyle="1" w:styleId="msonormal0">
    <w:name w:val="msonormal"/>
    <w:basedOn w:val="Normal"/>
    <w:rsid w:val="006432AE"/>
    <w:pPr>
      <w:spacing w:before="100" w:beforeAutospacing="1" w:after="100" w:afterAutospacing="1"/>
    </w:pPr>
    <w:rPr>
      <w:rFonts w:eastAsia="Times New Roman"/>
      <w:sz w:val="24"/>
    </w:rPr>
  </w:style>
  <w:style w:type="character" w:styleId="Emphasis">
    <w:name w:val="Emphasis"/>
    <w:basedOn w:val="DefaultParagraphFont"/>
    <w:uiPriority w:val="20"/>
    <w:qFormat/>
    <w:rsid w:val="00643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104">
      <w:bodyDiv w:val="1"/>
      <w:marLeft w:val="0"/>
      <w:marRight w:val="0"/>
      <w:marTop w:val="0"/>
      <w:marBottom w:val="0"/>
      <w:divBdr>
        <w:top w:val="none" w:sz="0" w:space="0" w:color="auto"/>
        <w:left w:val="none" w:sz="0" w:space="0" w:color="auto"/>
        <w:bottom w:val="none" w:sz="0" w:space="0" w:color="auto"/>
        <w:right w:val="none" w:sz="0" w:space="0" w:color="auto"/>
      </w:divBdr>
    </w:div>
    <w:div w:id="102967323">
      <w:bodyDiv w:val="1"/>
      <w:marLeft w:val="0"/>
      <w:marRight w:val="0"/>
      <w:marTop w:val="0"/>
      <w:marBottom w:val="0"/>
      <w:divBdr>
        <w:top w:val="none" w:sz="0" w:space="0" w:color="auto"/>
        <w:left w:val="none" w:sz="0" w:space="0" w:color="auto"/>
        <w:bottom w:val="none" w:sz="0" w:space="0" w:color="auto"/>
        <w:right w:val="none" w:sz="0" w:space="0" w:color="auto"/>
      </w:divBdr>
    </w:div>
    <w:div w:id="175581179">
      <w:bodyDiv w:val="1"/>
      <w:marLeft w:val="0"/>
      <w:marRight w:val="0"/>
      <w:marTop w:val="0"/>
      <w:marBottom w:val="0"/>
      <w:divBdr>
        <w:top w:val="none" w:sz="0" w:space="0" w:color="auto"/>
        <w:left w:val="none" w:sz="0" w:space="0" w:color="auto"/>
        <w:bottom w:val="none" w:sz="0" w:space="0" w:color="auto"/>
        <w:right w:val="none" w:sz="0" w:space="0" w:color="auto"/>
      </w:divBdr>
    </w:div>
    <w:div w:id="269708659">
      <w:bodyDiv w:val="1"/>
      <w:marLeft w:val="0"/>
      <w:marRight w:val="0"/>
      <w:marTop w:val="0"/>
      <w:marBottom w:val="0"/>
      <w:divBdr>
        <w:top w:val="none" w:sz="0" w:space="0" w:color="auto"/>
        <w:left w:val="none" w:sz="0" w:space="0" w:color="auto"/>
        <w:bottom w:val="none" w:sz="0" w:space="0" w:color="auto"/>
        <w:right w:val="none" w:sz="0" w:space="0" w:color="auto"/>
      </w:divBdr>
    </w:div>
    <w:div w:id="341247425">
      <w:bodyDiv w:val="1"/>
      <w:marLeft w:val="0"/>
      <w:marRight w:val="0"/>
      <w:marTop w:val="0"/>
      <w:marBottom w:val="0"/>
      <w:divBdr>
        <w:top w:val="none" w:sz="0" w:space="0" w:color="auto"/>
        <w:left w:val="none" w:sz="0" w:space="0" w:color="auto"/>
        <w:bottom w:val="none" w:sz="0" w:space="0" w:color="auto"/>
        <w:right w:val="none" w:sz="0" w:space="0" w:color="auto"/>
      </w:divBdr>
    </w:div>
    <w:div w:id="426583976">
      <w:bodyDiv w:val="1"/>
      <w:marLeft w:val="0"/>
      <w:marRight w:val="0"/>
      <w:marTop w:val="0"/>
      <w:marBottom w:val="0"/>
      <w:divBdr>
        <w:top w:val="none" w:sz="0" w:space="0" w:color="auto"/>
        <w:left w:val="none" w:sz="0" w:space="0" w:color="auto"/>
        <w:bottom w:val="none" w:sz="0" w:space="0" w:color="auto"/>
        <w:right w:val="none" w:sz="0" w:space="0" w:color="auto"/>
      </w:divBdr>
    </w:div>
    <w:div w:id="550724732">
      <w:bodyDiv w:val="1"/>
      <w:marLeft w:val="0"/>
      <w:marRight w:val="0"/>
      <w:marTop w:val="0"/>
      <w:marBottom w:val="0"/>
      <w:divBdr>
        <w:top w:val="none" w:sz="0" w:space="0" w:color="auto"/>
        <w:left w:val="none" w:sz="0" w:space="0" w:color="auto"/>
        <w:bottom w:val="none" w:sz="0" w:space="0" w:color="auto"/>
        <w:right w:val="none" w:sz="0" w:space="0" w:color="auto"/>
      </w:divBdr>
    </w:div>
    <w:div w:id="740758394">
      <w:bodyDiv w:val="1"/>
      <w:marLeft w:val="0"/>
      <w:marRight w:val="0"/>
      <w:marTop w:val="0"/>
      <w:marBottom w:val="0"/>
      <w:divBdr>
        <w:top w:val="none" w:sz="0" w:space="0" w:color="auto"/>
        <w:left w:val="none" w:sz="0" w:space="0" w:color="auto"/>
        <w:bottom w:val="none" w:sz="0" w:space="0" w:color="auto"/>
        <w:right w:val="none" w:sz="0" w:space="0" w:color="auto"/>
      </w:divBdr>
    </w:div>
    <w:div w:id="818572860">
      <w:bodyDiv w:val="1"/>
      <w:marLeft w:val="0"/>
      <w:marRight w:val="0"/>
      <w:marTop w:val="0"/>
      <w:marBottom w:val="0"/>
      <w:divBdr>
        <w:top w:val="none" w:sz="0" w:space="0" w:color="auto"/>
        <w:left w:val="none" w:sz="0" w:space="0" w:color="auto"/>
        <w:bottom w:val="none" w:sz="0" w:space="0" w:color="auto"/>
        <w:right w:val="none" w:sz="0" w:space="0" w:color="auto"/>
      </w:divBdr>
    </w:div>
    <w:div w:id="1668053829">
      <w:bodyDiv w:val="1"/>
      <w:marLeft w:val="0"/>
      <w:marRight w:val="0"/>
      <w:marTop w:val="0"/>
      <w:marBottom w:val="0"/>
      <w:divBdr>
        <w:top w:val="none" w:sz="0" w:space="0" w:color="auto"/>
        <w:left w:val="none" w:sz="0" w:space="0" w:color="auto"/>
        <w:bottom w:val="none" w:sz="0" w:space="0" w:color="auto"/>
        <w:right w:val="none" w:sz="0" w:space="0" w:color="auto"/>
      </w:divBdr>
      <w:divsChild>
        <w:div w:id="168953886">
          <w:marLeft w:val="0"/>
          <w:marRight w:val="0"/>
          <w:marTop w:val="0"/>
          <w:marBottom w:val="0"/>
          <w:divBdr>
            <w:top w:val="none" w:sz="0" w:space="0" w:color="auto"/>
            <w:left w:val="none" w:sz="0" w:space="0" w:color="auto"/>
            <w:bottom w:val="none" w:sz="0" w:space="0" w:color="auto"/>
            <w:right w:val="none" w:sz="0" w:space="0" w:color="auto"/>
          </w:divBdr>
        </w:div>
      </w:divsChild>
    </w:div>
    <w:div w:id="1678191198">
      <w:bodyDiv w:val="1"/>
      <w:marLeft w:val="0"/>
      <w:marRight w:val="0"/>
      <w:marTop w:val="0"/>
      <w:marBottom w:val="0"/>
      <w:divBdr>
        <w:top w:val="none" w:sz="0" w:space="0" w:color="auto"/>
        <w:left w:val="none" w:sz="0" w:space="0" w:color="auto"/>
        <w:bottom w:val="none" w:sz="0" w:space="0" w:color="auto"/>
        <w:right w:val="none" w:sz="0" w:space="0" w:color="auto"/>
      </w:divBdr>
    </w:div>
    <w:div w:id="1681815039">
      <w:bodyDiv w:val="1"/>
      <w:marLeft w:val="0"/>
      <w:marRight w:val="0"/>
      <w:marTop w:val="0"/>
      <w:marBottom w:val="0"/>
      <w:divBdr>
        <w:top w:val="none" w:sz="0" w:space="0" w:color="auto"/>
        <w:left w:val="none" w:sz="0" w:space="0" w:color="auto"/>
        <w:bottom w:val="none" w:sz="0" w:space="0" w:color="auto"/>
        <w:right w:val="none" w:sz="0" w:space="0" w:color="auto"/>
      </w:divBdr>
    </w:div>
    <w:div w:id="1728675600">
      <w:bodyDiv w:val="1"/>
      <w:marLeft w:val="0"/>
      <w:marRight w:val="0"/>
      <w:marTop w:val="0"/>
      <w:marBottom w:val="0"/>
      <w:divBdr>
        <w:top w:val="none" w:sz="0" w:space="0" w:color="auto"/>
        <w:left w:val="none" w:sz="0" w:space="0" w:color="auto"/>
        <w:bottom w:val="none" w:sz="0" w:space="0" w:color="auto"/>
        <w:right w:val="none" w:sz="0" w:space="0" w:color="auto"/>
      </w:divBdr>
    </w:div>
    <w:div w:id="1750686438">
      <w:bodyDiv w:val="1"/>
      <w:marLeft w:val="0"/>
      <w:marRight w:val="0"/>
      <w:marTop w:val="0"/>
      <w:marBottom w:val="0"/>
      <w:divBdr>
        <w:top w:val="none" w:sz="0" w:space="0" w:color="auto"/>
        <w:left w:val="none" w:sz="0" w:space="0" w:color="auto"/>
        <w:bottom w:val="none" w:sz="0" w:space="0" w:color="auto"/>
        <w:right w:val="none" w:sz="0" w:space="0" w:color="auto"/>
      </w:divBdr>
    </w:div>
    <w:div w:id="1814521815">
      <w:bodyDiv w:val="1"/>
      <w:marLeft w:val="0"/>
      <w:marRight w:val="0"/>
      <w:marTop w:val="0"/>
      <w:marBottom w:val="0"/>
      <w:divBdr>
        <w:top w:val="none" w:sz="0" w:space="0" w:color="auto"/>
        <w:left w:val="none" w:sz="0" w:space="0" w:color="auto"/>
        <w:bottom w:val="none" w:sz="0" w:space="0" w:color="auto"/>
        <w:right w:val="none" w:sz="0" w:space="0" w:color="auto"/>
      </w:divBdr>
    </w:div>
    <w:div w:id="1885405260">
      <w:bodyDiv w:val="1"/>
      <w:marLeft w:val="0"/>
      <w:marRight w:val="0"/>
      <w:marTop w:val="0"/>
      <w:marBottom w:val="0"/>
      <w:divBdr>
        <w:top w:val="none" w:sz="0" w:space="0" w:color="auto"/>
        <w:left w:val="none" w:sz="0" w:space="0" w:color="auto"/>
        <w:bottom w:val="none" w:sz="0" w:space="0" w:color="auto"/>
        <w:right w:val="none" w:sz="0" w:space="0" w:color="auto"/>
      </w:divBdr>
    </w:div>
    <w:div w:id="1908302410">
      <w:bodyDiv w:val="1"/>
      <w:marLeft w:val="0"/>
      <w:marRight w:val="0"/>
      <w:marTop w:val="0"/>
      <w:marBottom w:val="0"/>
      <w:divBdr>
        <w:top w:val="none" w:sz="0" w:space="0" w:color="auto"/>
        <w:left w:val="none" w:sz="0" w:space="0" w:color="auto"/>
        <w:bottom w:val="none" w:sz="0" w:space="0" w:color="auto"/>
        <w:right w:val="none" w:sz="0" w:space="0" w:color="auto"/>
      </w:divBdr>
    </w:div>
    <w:div w:id="20698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99856-525A-48B4-9CB3-9AF09230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25579</Words>
  <Characters>145804</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171041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Minh Khiem</dc:creator>
  <cp:lastModifiedBy>Admin</cp:lastModifiedBy>
  <cp:revision>4</cp:revision>
  <cp:lastPrinted>2025-07-08T04:11:00Z</cp:lastPrinted>
  <dcterms:created xsi:type="dcterms:W3CDTF">2025-07-23T08:57:00Z</dcterms:created>
  <dcterms:modified xsi:type="dcterms:W3CDTF">2025-07-23T09:01:00Z</dcterms:modified>
</cp:coreProperties>
</file>