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229" w:type="dxa"/>
        <w:jc w:val="left"/>
        <w:tblInd w:w="-127" w:type="dxa"/>
        <w:tblLayout w:type="fixed"/>
        <w:tblCellMar>
          <w:top w:w="15" w:type="dxa"/>
          <w:left w:w="15" w:type="dxa"/>
          <w:bottom w:w="15" w:type="dxa"/>
          <w:right w:w="15" w:type="dxa"/>
        </w:tblCellMar>
        <w:tblLook w:val="0000" w:firstRow="0" w:noVBand="0" w:lastRow="0" w:firstColumn="0" w:lastColumn="0" w:noHBand="0"/>
      </w:tblPr>
      <w:tblGrid>
        <w:gridCol w:w="2992"/>
        <w:gridCol w:w="164"/>
        <w:gridCol w:w="6073"/>
      </w:tblGrid>
      <w:tr>
        <w:trPr>
          <w:trHeight w:val="1261" w:hRule="atLeast"/>
        </w:trPr>
        <w:tc>
          <w:tcPr>
            <w:tcW w:w="2992" w:type="dxa"/>
            <w:tcBorders/>
          </w:tcPr>
          <w:p>
            <w:pPr>
              <w:pStyle w:val="Normal"/>
              <w:widowControl w:val="false"/>
              <w:suppressAutoHyphens w:val="false"/>
              <w:spacing w:lineRule="auto" w:line="240" w:before="0" w:after="0"/>
              <w:jc w:val="center"/>
              <w:rPr>
                <w:rFonts w:ascii="Aptos Display" w:hAnsi="Aptos Display" w:cs="Aptos Display" w:asciiTheme="majorHAnsi" w:cstheme="majorHAnsi" w:hAnsiTheme="majorHAnsi"/>
                <w:color w:themeColor="text1" w:val="000000"/>
                <w:sz w:val="26"/>
                <w:szCs w:val="26"/>
              </w:rPr>
            </w:pPr>
            <w:r>
              <w:rPr>
                <w:rFonts w:eastAsia="Times New Roman" w:cs="Aptos Display" w:ascii="Aptos Display" w:hAnsi="Aptos Display" w:asciiTheme="majorHAnsi" w:cstheme="majorHAnsi" w:hAnsiTheme="majorHAnsi"/>
                <w:b/>
                <w:bCs/>
                <w:color w:themeColor="text1" w:val="000000"/>
                <w:sz w:val="26"/>
                <w:szCs w:val="26"/>
              </w:rPr>
              <w:t>QUỐC HỘI</w:t>
            </w:r>
          </w:p>
          <w:p>
            <w:pPr>
              <w:pStyle w:val="Normal"/>
              <w:widowControl w:val="false"/>
              <w:suppressAutoHyphens w:val="false"/>
              <w:spacing w:lineRule="auto" w:line="240" w:before="0" w:after="0"/>
              <w:jc w:val="center"/>
              <w:rPr>
                <w:rFonts w:ascii="Aptos Display" w:hAnsi="Aptos Display" w:eastAsia="Times New Roman" w:cs="Aptos Display" w:asciiTheme="majorHAnsi" w:cstheme="majorHAnsi" w:hAnsiTheme="majorHAnsi"/>
                <w:color w:themeColor="text1" w:val="000000"/>
                <w:sz w:val="28"/>
                <w:szCs w:val="28"/>
              </w:rPr>
            </w:pPr>
            <w:r>
              <w:rPr>
                <w:rFonts w:eastAsia="Times New Roman" w:cs="Aptos Display" w:cstheme="majorHAnsi" w:ascii="Aptos Display" w:hAnsi="Aptos Display"/>
                <w:color w:themeColor="text1" w:val="000000"/>
                <w:sz w:val="28"/>
                <w:szCs w:val="28"/>
              </w:rPr>
              <mc:AlternateContent>
                <mc:Choice Requires="wps">
                  <w:drawing>
                    <wp:anchor distT="0" distB="0" distL="0" distR="0" simplePos="0" relativeHeight="3" behindDoc="0" locked="0" layoutInCell="1" allowOverlap="1" wp14:anchorId="6589FAA4">
                      <wp:simplePos x="0" y="0"/>
                      <wp:positionH relativeFrom="margin">
                        <wp:posOffset>717550</wp:posOffset>
                      </wp:positionH>
                      <wp:positionV relativeFrom="paragraph">
                        <wp:posOffset>22860</wp:posOffset>
                      </wp:positionV>
                      <wp:extent cx="446405" cy="635"/>
                      <wp:effectExtent l="5715" t="5715" r="5080" b="5080"/>
                      <wp:wrapNone/>
                      <wp:docPr id="1" name="Straight Arrow Connector 3"/>
                      <a:graphic xmlns:a="http://schemas.openxmlformats.org/drawingml/2006/main">
                        <a:graphicData uri="http://schemas.microsoft.com/office/word/2010/wordprocessingShape">
                          <wps:wsp>
                            <wps:cNvSpPr/>
                            <wps:spPr>
                              <a:xfrm>
                                <a:off x="0" y="0"/>
                                <a:ext cx="44640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t" style="position:absolute;margin-left:56.5pt;margin-top:1.8pt;width:35.1pt;height:0pt;mso-wrap-style:none;v-text-anchor:middle;mso-position-horizontal-relative:margin" wp14:anchorId="6589FAA4" type="_x0000_t32" path="m0,0l-2147483648,-2147483647e">
                      <v:fill o:detectmouseclick="t" on="false"/>
                      <v:stroke color="black" weight="9360" joinstyle="round" endcap="flat"/>
                      <w10:wrap type="none"/>
                    </v:shape>
                  </w:pict>
                </mc:Fallback>
              </mc:AlternateContent>
            </w:r>
          </w:p>
          <w:p>
            <w:pPr>
              <w:pStyle w:val="Normal"/>
              <w:widowControl w:val="false"/>
              <w:suppressAutoHyphens w:val="false"/>
              <w:spacing w:lineRule="auto" w:line="240" w:before="0" w:after="0"/>
              <w:jc w:val="center"/>
              <w:rPr>
                <w:rFonts w:ascii="Aptos Display" w:hAnsi="Aptos Display" w:eastAsia="Times New Roman" w:cs="Aptos Display" w:asciiTheme="majorHAnsi" w:cstheme="majorHAnsi" w:hAnsiTheme="majorHAnsi"/>
                <w:color w:themeColor="text1" w:val="000000"/>
                <w:sz w:val="28"/>
                <w:szCs w:val="28"/>
              </w:rPr>
            </w:pPr>
            <w:r>
              <w:rPr>
                <w:rFonts w:eastAsia="Times New Roman" w:cs="Aptos Display" w:cstheme="majorHAnsi" w:ascii="Aptos Display" w:hAnsi="Aptos Display"/>
                <w:color w:themeColor="text1" w:val="000000"/>
                <w:sz w:val="28"/>
                <w:szCs w:val="28"/>
              </w:rPr>
            </w:r>
          </w:p>
          <w:p>
            <w:pPr>
              <w:pStyle w:val="Normal"/>
              <w:widowControl w:val="false"/>
              <w:suppressAutoHyphens w:val="false"/>
              <w:spacing w:lineRule="auto" w:line="240" w:before="0" w:after="0"/>
              <w:jc w:val="center"/>
              <w:rPr>
                <w:rFonts w:ascii="Aptos Display" w:hAnsi="Aptos Display" w:eastAsia="Times New Roman" w:cs="Aptos Display" w:asciiTheme="majorHAnsi" w:cstheme="majorHAnsi" w:hAnsiTheme="majorHAnsi"/>
                <w:color w:themeColor="text1" w:val="000000"/>
                <w:sz w:val="26"/>
                <w:szCs w:val="26"/>
              </w:rPr>
            </w:pPr>
            <w:r>
              <w:rPr>
                <w:rFonts w:eastAsia="Times New Roman" w:cs="Aptos Display" w:ascii="Aptos Display" w:hAnsi="Aptos Display" w:asciiTheme="majorHAnsi" w:cstheme="majorHAnsi" w:hAnsiTheme="majorHAnsi"/>
                <w:color w:themeColor="text1" w:val="000000"/>
                <w:sz w:val="28"/>
                <w:szCs w:val="28"/>
              </w:rPr>
              <w:t xml:space="preserve">Luật số:     </w:t>
            </w:r>
            <w:r>
              <w:rPr>
                <w:rFonts w:eastAsia="Times New Roman" w:cs="Aptos Display" w:ascii="Aptos Display" w:hAnsi="Aptos Display" w:asciiTheme="majorHAnsi" w:cstheme="majorHAnsi" w:hAnsiTheme="majorHAnsi"/>
                <w:color w:themeColor="text1" w:val="000000"/>
                <w:sz w:val="28"/>
                <w:szCs w:val="28"/>
                <w:lang w:val="en-US"/>
              </w:rPr>
              <w:t xml:space="preserve">  </w:t>
            </w:r>
            <w:r>
              <w:rPr>
                <w:rFonts w:eastAsia="Times New Roman" w:cs="Aptos Display" w:ascii="Aptos Display" w:hAnsi="Aptos Display" w:asciiTheme="majorHAnsi" w:cstheme="majorHAnsi" w:hAnsiTheme="majorHAnsi"/>
                <w:color w:themeColor="text1" w:val="000000"/>
                <w:sz w:val="28"/>
                <w:szCs w:val="28"/>
              </w:rPr>
              <w:t xml:space="preserve">  /2026/QH16</w:t>
            </w:r>
          </w:p>
        </w:tc>
        <w:tc>
          <w:tcPr>
            <w:tcW w:w="164" w:type="dxa"/>
            <w:tcBorders/>
            <w:vAlign w:val="center"/>
          </w:tcPr>
          <w:p>
            <w:pPr>
              <w:pStyle w:val="Normal"/>
              <w:widowControl w:val="false"/>
              <w:suppressAutoHyphens w:val="false"/>
              <w:snapToGrid w:val="false"/>
              <w:spacing w:lineRule="auto" w:line="240" w:before="0" w:after="0"/>
              <w:rPr>
                <w:rFonts w:ascii="Aptos Display" w:hAnsi="Aptos Display" w:eastAsia="Times New Roman" w:cs="Aptos Display" w:asciiTheme="majorHAnsi" w:cstheme="majorHAnsi" w:hAnsiTheme="majorHAnsi"/>
                <w:color w:themeColor="text1" w:val="000000"/>
                <w:sz w:val="28"/>
                <w:szCs w:val="28"/>
              </w:rPr>
            </w:pPr>
            <w:r>
              <w:rPr>
                <w:rFonts w:eastAsia="Times New Roman" w:cs="Aptos Display" w:cstheme="majorHAnsi" w:ascii="Aptos Display" w:hAnsi="Aptos Display"/>
                <w:color w:themeColor="text1" w:val="000000"/>
                <w:sz w:val="28"/>
                <w:szCs w:val="28"/>
              </w:rPr>
            </w:r>
          </w:p>
        </w:tc>
        <w:tc>
          <w:tcPr>
            <w:tcW w:w="6073" w:type="dxa"/>
            <w:tcBorders/>
          </w:tcPr>
          <w:p>
            <w:pPr>
              <w:pStyle w:val="Normal"/>
              <w:widowControl w:val="false"/>
              <w:suppressAutoHyphens w:val="false"/>
              <w:spacing w:lineRule="auto" w:line="240" w:before="0" w:after="0"/>
              <w:jc w:val="center"/>
              <w:rPr>
                <w:rFonts w:ascii="Aptos Display" w:hAnsi="Aptos Display" w:eastAsia="Times New Roman" w:cs="Aptos Display" w:asciiTheme="majorHAnsi" w:cstheme="majorHAnsi" w:hAnsiTheme="majorHAnsi"/>
                <w:b/>
                <w:bCs/>
                <w:color w:themeColor="text1" w:val="000000"/>
                <w:sz w:val="26"/>
                <w:szCs w:val="26"/>
              </w:rPr>
            </w:pPr>
            <w:r>
              <w:rPr>
                <w:rFonts w:eastAsia="Times New Roman" w:cs="Aptos Display" w:ascii="Aptos Display" w:hAnsi="Aptos Display" w:asciiTheme="majorHAnsi" w:cstheme="majorHAnsi" w:hAnsiTheme="majorHAnsi"/>
                <w:b/>
                <w:bCs/>
                <w:color w:themeColor="text1" w:val="000000"/>
                <w:sz w:val="26"/>
                <w:szCs w:val="26"/>
              </w:rPr>
              <w:t>CỘNG HÒA XÃ HỘI CHỦ NGHĨA VIỆT NAM</w:t>
            </w:r>
          </w:p>
          <w:p>
            <w:pPr>
              <w:pStyle w:val="Normal"/>
              <w:widowControl w:val="false"/>
              <w:suppressAutoHyphens w:val="false"/>
              <w:spacing w:lineRule="auto" w:line="240" w:before="0" w:after="0"/>
              <w:jc w:val="center"/>
              <w:rPr>
                <w:rFonts w:ascii="Aptos Display" w:hAnsi="Aptos Display" w:eastAsia="Times New Roman" w:cs="Aptos Display" w:asciiTheme="majorHAnsi" w:cstheme="majorHAnsi" w:hAnsiTheme="majorHAnsi"/>
                <w:i/>
                <w:iCs/>
                <w:color w:themeColor="text1" w:val="000000"/>
                <w:sz w:val="28"/>
                <w:szCs w:val="28"/>
              </w:rPr>
            </w:pPr>
            <w:r>
              <w:rPr>
                <w:rFonts w:eastAsia="Times New Roman" w:cs="Aptos Display" w:ascii="Aptos Display" w:hAnsi="Aptos Display" w:asciiTheme="majorHAnsi" w:cstheme="majorHAnsi" w:hAnsiTheme="majorHAnsi"/>
                <w:b/>
                <w:bCs/>
                <w:color w:themeColor="text1" w:val="000000"/>
                <w:sz w:val="28"/>
                <w:szCs w:val="28"/>
              </w:rPr>
              <w:t>Độc lập - Tự do - Hạnh phúc</w:t>
            </w:r>
          </w:p>
          <w:p>
            <w:pPr>
              <w:pStyle w:val="Normal"/>
              <w:widowControl w:val="false"/>
              <w:tabs>
                <w:tab w:val="clear" w:pos="170"/>
                <w:tab w:val="left" w:pos="2460" w:leader="none"/>
              </w:tabs>
              <w:suppressAutoHyphens w:val="false"/>
              <w:spacing w:lineRule="auto" w:line="240" w:before="0" w:after="0"/>
              <w:rPr>
                <w:rFonts w:ascii="Aptos Display" w:hAnsi="Aptos Display" w:cs="Aptos Display" w:asciiTheme="majorHAnsi" w:cstheme="majorHAnsi" w:hAnsiTheme="majorHAnsi"/>
                <w:color w:themeColor="text1" w:val="000000"/>
                <w:sz w:val="28"/>
                <w:szCs w:val="28"/>
              </w:rPr>
            </w:pPr>
            <w:r>
              <mc:AlternateContent>
                <mc:Choice Requires="wps">
                  <w:drawing>
                    <wp:anchor distT="0" distB="0" distL="0" distR="0" simplePos="0" relativeHeight="4" behindDoc="0" locked="0" layoutInCell="1" allowOverlap="1" wp14:anchorId="249C6898">
                      <wp:simplePos x="0" y="0"/>
                      <wp:positionH relativeFrom="margin">
                        <wp:posOffset>855980</wp:posOffset>
                      </wp:positionH>
                      <wp:positionV relativeFrom="paragraph">
                        <wp:posOffset>19050</wp:posOffset>
                      </wp:positionV>
                      <wp:extent cx="2160270" cy="635"/>
                      <wp:effectExtent l="5080" t="5715" r="5715" b="5080"/>
                      <wp:wrapNone/>
                      <wp:docPr id="2" name="Straight Arrow Connector 1"/>
                      <a:graphic xmlns:a="http://schemas.openxmlformats.org/drawingml/2006/main">
                        <a:graphicData uri="http://schemas.microsoft.com/office/word/2010/wordprocessingShape">
                          <wps:wsp>
                            <wps:cNvSpPr/>
                            <wps:spPr>
                              <a:xfrm>
                                <a:off x="0" y="0"/>
                                <a:ext cx="216036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t" style="position:absolute;margin-left:67.4pt;margin-top:1.5pt;width:170.05pt;height:0pt;mso-wrap-style:none;v-text-anchor:middle;mso-position-horizontal-relative:margin" wp14:anchorId="249C6898" type="_x0000_t32" path="m0,0l-2147483648,-2147483647e">
                      <v:fill o:detectmouseclick="t" on="false"/>
                      <v:stroke color="black" weight="9360" joinstyle="round" endcap="flat"/>
                      <w10:wrap type="none"/>
                    </v:shape>
                  </w:pict>
                </mc:Fallback>
              </mc:AlternateContent>
            </w:r>
            <w:r>
              <w:rPr>
                <w:rFonts w:cs="Aptos Display" w:ascii="Aptos Display" w:hAnsi="Aptos Display" w:asciiTheme="majorHAnsi" w:cstheme="majorHAnsi" w:hAnsiTheme="majorHAnsi"/>
                <w:color w:themeColor="text1" w:val="000000"/>
                <w:sz w:val="28"/>
                <w:szCs w:val="28"/>
              </w:rPr>
              <w:tab/>
            </w:r>
          </w:p>
          <w:p>
            <w:pPr>
              <w:pStyle w:val="Normal"/>
              <w:widowControl w:val="false"/>
              <w:tabs>
                <w:tab w:val="clear" w:pos="170"/>
                <w:tab w:val="left" w:pos="2460" w:leader="none"/>
              </w:tabs>
              <w:suppressAutoHyphens w:val="false"/>
              <w:spacing w:lineRule="auto" w:line="240" w:before="0" w:after="0"/>
              <w:jc w:val="center"/>
              <w:rPr>
                <w:rFonts w:ascii="Aptos Display" w:hAnsi="Aptos Display" w:cs="Aptos Display" w:asciiTheme="majorHAnsi" w:cstheme="majorHAnsi" w:hAnsiTheme="majorHAnsi"/>
                <w:i/>
                <w:iCs/>
                <w:color w:themeColor="text1" w:val="000000"/>
                <w:sz w:val="28"/>
                <w:szCs w:val="28"/>
              </w:rPr>
            </w:pPr>
            <w:r>
              <w:rPr>
                <w:rFonts w:cs="Aptos Display" w:cstheme="majorHAnsi" w:ascii="Aptos Display" w:hAnsi="Aptos Display"/>
                <w:i/>
                <w:iCs/>
                <w:color w:themeColor="text1" w:val="000000"/>
                <w:sz w:val="28"/>
                <w:szCs w:val="28"/>
              </w:rPr>
            </w:r>
          </w:p>
        </w:tc>
      </w:tr>
    </w:tbl>
    <w:p>
      <w:pPr>
        <w:pStyle w:val="Normal"/>
        <w:widowControl w:val="false"/>
        <w:suppressAutoHyphens w:val="false"/>
        <w:spacing w:lineRule="auto" w:line="240" w:before="120" w:after="120"/>
        <w:rPr>
          <w:rFonts w:ascii="Aptos Display" w:hAnsi="Aptos Display" w:eastAsia="Times New Roman" w:cs="Aptos Display" w:asciiTheme="majorHAnsi" w:cstheme="majorHAnsi" w:hAnsiTheme="majorHAnsi"/>
          <w:b/>
          <w:bCs/>
          <w:color w:themeColor="text1" w:val="000000"/>
          <w:sz w:val="28"/>
          <w:szCs w:val="28"/>
        </w:rPr>
      </w:pPr>
      <w:r>
        <w:rPr>
          <w:rFonts w:eastAsia="Times New Roman" w:cs="Aptos Display" w:cstheme="majorHAnsi" w:ascii="Aptos Display" w:hAnsi="Aptos Display"/>
          <w:b/>
          <w:bCs/>
          <w:color w:themeColor="text1" w:val="000000"/>
          <w:sz w:val="28"/>
          <w:szCs w:val="28"/>
        </w:rPr>
      </w:r>
    </w:p>
    <w:p>
      <w:pPr>
        <w:pStyle w:val="Normal"/>
        <w:widowControl w:val="false"/>
        <w:suppressAutoHyphens w:val="false"/>
        <w:spacing w:lineRule="auto" w:line="240" w:before="0" w:after="0"/>
        <w:jc w:val="center"/>
        <w:rPr>
          <w:rFonts w:ascii="Aptos Display" w:hAnsi="Aptos Display" w:eastAsia="Times New Roman" w:cs="Aptos Display" w:asciiTheme="majorHAnsi" w:cstheme="majorHAnsi" w:hAnsiTheme="majorHAnsi"/>
          <w:b/>
          <w:bCs/>
          <w:color w:themeColor="text1" w:val="000000"/>
          <w:sz w:val="28"/>
          <w:szCs w:val="28"/>
        </w:rPr>
      </w:pPr>
      <w:r>
        <w:rPr>
          <w:rFonts w:eastAsia="Times New Roman" w:cs="Aptos Display" w:ascii="Aptos Display" w:hAnsi="Aptos Display" w:asciiTheme="majorHAnsi" w:cstheme="majorHAnsi" w:hAnsiTheme="majorHAnsi"/>
          <w:b/>
          <w:bCs/>
          <w:color w:themeColor="text1" w:val="000000"/>
          <w:sz w:val="28"/>
          <w:szCs w:val="28"/>
        </w:rPr>
        <w:t>LUẬT</w:t>
      </w:r>
    </w:p>
    <w:p>
      <w:pPr>
        <w:pStyle w:val="Normal"/>
        <w:widowControl w:val="false"/>
        <w:suppressAutoHyphens w:val="false"/>
        <w:spacing w:lineRule="atLeast" w:line="240" w:before="0" w:after="0"/>
        <w:jc w:val="center"/>
        <w:rPr>
          <w:rFonts w:ascii="Aptos Display" w:hAnsi="Aptos Display" w:eastAsia="Times New Roman" w:cs="Aptos Display" w:asciiTheme="majorHAnsi" w:cstheme="majorHAnsi" w:hAnsiTheme="majorHAnsi"/>
          <w:b/>
          <w:bCs/>
          <w:color w:themeColor="text1" w:val="000000"/>
          <w:sz w:val="28"/>
          <w:szCs w:val="28"/>
        </w:rPr>
      </w:pPr>
      <w:r>
        <w:rPr>
          <w:rFonts w:eastAsia="Times New Roman" w:cs="Aptos Display" w:ascii="Aptos Display" w:hAnsi="Aptos Display" w:asciiTheme="majorHAnsi" w:cstheme="majorHAnsi" w:hAnsiTheme="majorHAnsi"/>
          <w:b/>
          <w:bCs/>
          <w:color w:themeColor="text1" w:val="000000"/>
          <w:sz w:val="28"/>
          <w:szCs w:val="28"/>
        </w:rPr>
        <w:t>SỬA ĐỔI, BỔ SUNG MỘT SỐ ĐIỀU CỦA 10 LUẬT</w:t>
      </w:r>
    </w:p>
    <w:p>
      <w:pPr>
        <w:pStyle w:val="Normal"/>
        <w:widowControl w:val="false"/>
        <w:suppressAutoHyphens w:val="false"/>
        <w:spacing w:lineRule="auto" w:line="240" w:before="0" w:after="0"/>
        <w:jc w:val="center"/>
        <w:rPr>
          <w:rFonts w:ascii="Aptos Display" w:hAnsi="Aptos Display" w:eastAsia="Times New Roman" w:cs="Aptos Display" w:asciiTheme="majorHAnsi" w:cstheme="majorHAnsi" w:hAnsiTheme="majorHAnsi"/>
          <w:i/>
          <w:iCs/>
          <w:color w:themeColor="text1" w:val="000000"/>
          <w:sz w:val="28"/>
          <w:szCs w:val="28"/>
        </w:rPr>
      </w:pPr>
      <w:r>
        <w:rPr>
          <w:rFonts w:eastAsia="Times New Roman" w:cs="Aptos Display" w:ascii="Aptos Display" w:hAnsi="Aptos Display" w:asciiTheme="majorHAnsi" w:cstheme="majorHAnsi" w:hAnsiTheme="majorHAnsi"/>
          <w:b/>
          <w:bCs/>
          <w:color w:themeColor="text1" w:val="000000"/>
          <w:sz w:val="28"/>
          <w:szCs w:val="28"/>
        </w:rPr>
        <w:t>CÓ LIÊN QUAN ĐẾN THỦ TỤC HÀNH CHÍNH, ĐIỀU KIỆN ĐẦU TƯ KINH DOANH TRONG LĨNH VỰC NÔNG NGHIỆP VÀ MÔI TRƯỜNG</w:t>
      </w:r>
    </w:p>
    <w:p>
      <w:pPr>
        <w:pStyle w:val="Normal"/>
        <w:widowControl w:val="false"/>
        <w:suppressAutoHyphens w:val="false"/>
        <w:spacing w:lineRule="auto" w:line="240" w:before="120" w:after="120"/>
        <w:ind w:firstLine="709"/>
        <w:jc w:val="both"/>
        <w:rPr>
          <w:rFonts w:ascii="Aptos Display" w:hAnsi="Aptos Display" w:eastAsia="Times New Roman" w:cs="Aptos Display" w:asciiTheme="majorHAnsi" w:cstheme="majorHAnsi" w:hAnsiTheme="majorHAnsi"/>
          <w:i/>
          <w:iCs/>
          <w:color w:themeColor="text1" w:val="000000"/>
          <w:sz w:val="28"/>
          <w:szCs w:val="28"/>
        </w:rPr>
      </w:pPr>
      <w:r>
        <w:rPr>
          <w:rFonts w:eastAsia="Times New Roman" w:cs="Aptos Display" w:cstheme="majorHAnsi" w:ascii="Aptos Display" w:hAnsi="Aptos Display"/>
          <w:i/>
          <w:iCs/>
          <w:color w:themeColor="text1" w:val="000000"/>
          <w:sz w:val="28"/>
          <w:szCs w:val="28"/>
        </w:rPr>
      </w:r>
    </w:p>
    <w:p>
      <w:pPr>
        <w:pStyle w:val="Normal"/>
        <w:widowControl w:val="false"/>
        <w:suppressAutoHyphens w:val="false"/>
        <w:spacing w:lineRule="exact" w:line="380" w:before="120" w:after="120"/>
        <w:ind w:firstLine="709"/>
        <w:jc w:val="both"/>
        <w:rPr>
          <w:rFonts w:ascii="Aptos Display" w:hAnsi="Aptos Display" w:eastAsia="Times New Roman" w:cs="Aptos Display" w:asciiTheme="majorHAnsi" w:cstheme="majorHAnsi" w:hAnsiTheme="majorHAnsi"/>
          <w:i/>
          <w:iCs/>
          <w:color w:themeColor="text1" w:val="000000"/>
          <w:sz w:val="28"/>
          <w:szCs w:val="28"/>
        </w:rPr>
      </w:pPr>
      <w:r>
        <w:rPr>
          <w:rFonts w:eastAsia="Times New Roman" w:cs="Aptos Display" w:ascii="Aptos Display" w:hAnsi="Aptos Display" w:asciiTheme="majorHAnsi" w:cstheme="majorHAnsi" w:hAnsiTheme="majorHAnsi"/>
          <w:i/>
          <w:iCs/>
          <w:color w:themeColor="text1" w:val="000000"/>
          <w:sz w:val="28"/>
          <w:szCs w:val="28"/>
        </w:rPr>
        <w:t>Căn cứ Hiến pháp nước Cộng hòa xã hội chủ nghĩa Việt Nam đã được sửa đổi, bổ sung một số điều theo Nghị quyết số 203/2025/QH15;</w:t>
      </w:r>
    </w:p>
    <w:p>
      <w:pPr>
        <w:pStyle w:val="Normal"/>
        <w:widowControl w:val="false"/>
        <w:suppressAutoHyphens w:val="false"/>
        <w:spacing w:lineRule="exact" w:line="380" w:before="120" w:after="120"/>
        <w:ind w:firstLine="709"/>
        <w:jc w:val="both"/>
        <w:rPr>
          <w:rFonts w:ascii="Aptos Display" w:hAnsi="Aptos Display" w:eastAsia="Times New Roman" w:cs="Aptos Display" w:asciiTheme="majorHAnsi" w:cstheme="majorHAnsi" w:hAnsiTheme="majorHAnsi"/>
          <w:i/>
          <w:iCs/>
          <w:color w:themeColor="text1" w:val="000000"/>
          <w:sz w:val="28"/>
          <w:szCs w:val="28"/>
        </w:rPr>
      </w:pPr>
      <w:r>
        <w:rPr>
          <w:rFonts w:cs="Aptos Display" w:ascii="Aptos Display" w:hAnsi="Aptos Display" w:asciiTheme="majorHAnsi" w:cstheme="majorHAnsi" w:hAnsiTheme="majorHAnsi"/>
          <w:bCs/>
          <w:i/>
          <w:iCs/>
          <w:color w:themeColor="text1" w:val="000000"/>
          <w:sz w:val="28"/>
          <w:szCs w:val="28"/>
        </w:rPr>
        <w:t>Quốc</w:t>
      </w:r>
      <w:r>
        <w:rPr>
          <w:rFonts w:eastAsia="Times New Roman" w:cs="Aptos Display" w:ascii="Aptos Display" w:hAnsi="Aptos Display" w:asciiTheme="majorHAnsi" w:cstheme="majorHAnsi" w:hAnsiTheme="majorHAnsi"/>
          <w:i/>
          <w:iCs/>
          <w:color w:themeColor="text1" w:val="000000"/>
          <w:sz w:val="28"/>
          <w:szCs w:val="28"/>
        </w:rPr>
        <w:t xml:space="preserve"> hội ban hành Luật sửa đổi, bổ sung một số điều của 10 luật có liên quan đến thủ tục hành chính, điều kiện đầu tư kinh doanh trong lĩnh vực nông nghiệp và môi trường gồm</w:t>
      </w:r>
      <w:r>
        <w:rPr>
          <w:rFonts w:eastAsia="Times New Roman" w:cs="Aptos Display" w:ascii="Aptos Display" w:hAnsi="Aptos Display" w:asciiTheme="majorHAnsi" w:cstheme="majorHAnsi" w:hAnsiTheme="majorHAnsi"/>
          <w:i/>
          <w:iCs/>
          <w:color w:themeColor="text1" w:val="000000"/>
          <w:sz w:val="28"/>
          <w:szCs w:val="28"/>
          <w:lang w:val="en-US"/>
        </w:rPr>
        <w:t>:</w:t>
      </w:r>
      <w:r>
        <w:rPr>
          <w:rFonts w:eastAsia="Times New Roman" w:cs="Aptos Display" w:ascii="Aptos Display" w:hAnsi="Aptos Display" w:asciiTheme="majorHAnsi" w:cstheme="majorHAnsi" w:hAnsiTheme="majorHAnsi"/>
          <w:i/>
          <w:iCs/>
          <w:color w:themeColor="text1" w:val="000000"/>
          <w:sz w:val="28"/>
          <w:szCs w:val="28"/>
        </w:rPr>
        <w:t xml:space="preserve"> Luật Bảo vệ và kiểm dịch thực vật số 41/2013/QH13 đã được sửa đổi, bổ sung một số điều theo Luật số 35/2018/QH14 và Luật số 146/2025/QH15; Luật Chăn nuôi số 32/2018/QH14 đã được sửa đổi, bổ sung một số điều theo Luật số 146/2025/QH15; Luật Đê điều số 79/2006/QH11 đã được sửa đổi, bổ sung một số điều theo Luật số 15/2008/QH12, Luật số 35/2018/QH14, Luật số 60/2020/QH14, Luật số 18/2023/QH15, Luật số 47/2024/QH15, Luật số 84/2025/QH15 và Luật số 146/2025/QH15; Luật Địa chất và khoáng sản số 54/2024/QH15 đã được sửa đổi, bổ sung một số điều theo Luật số 147/2025/QH15; Luật Khí tượng thủy văn số 90/2015/QH13 đã được sửa đổi, bổ sung một số điều theo Luật số 35/2018/QH14, Luật số 64/2020/QH14 và Luật số 146/2025/QH15; Luật Tài nguyên nước số 28/2023/QH15 đã được sửa đổi, bổ sung một số điều theo Luật số 84/2025/QH15, Luật số 116/2025/QH15 và Luật số 146/2025/QH15; Luật Thú y số 79/2015/QH13 đã được sửa đổi, bổ sung một số điều theo Luật số 21/2017/QH14 và Luật số 146/2025/QH15; Luật Thủy lợi số 08/2017/QH14 đã được sửa đổi, bổ sung một số điều theo Luật số 35/2018/QH14, Luật số 59/2020/QH14, Luật số 72/2020/QH14, Luật số 16/2023/QH15, Luật số 28/2023/QH15, Luật số 54/2024/QH15 và Luật số 146/2025/QH15; Luật Thủy sản số 18/2017/QH14 đã được sửa đổi, bổ sung một số điều theo Luật số 31/2024/QH15, Luật số 43/2024/QH15 và Luật số 146/2025/QH15; Luật Trồng trọt số 31/2018/QH14 đã được sửa đổi, bổ sung một số điều theo Luật số 146/2025/QH15.</w:t>
      </w:r>
    </w:p>
    <w:p>
      <w:pPr>
        <w:pStyle w:val="ListParagraph"/>
        <w:widowControl w:val="false"/>
        <w:numPr>
          <w:ilvl w:val="0"/>
          <w:numId w:val="4"/>
        </w:numPr>
        <w:tabs>
          <w:tab w:val="clear" w:pos="170"/>
          <w:tab w:val="left" w:pos="1276" w:leader="none"/>
          <w:tab w:val="left" w:pos="1560" w:leader="none"/>
        </w:tabs>
        <w:suppressAutoHyphens w:val="false"/>
        <w:spacing w:lineRule="exact" w:line="360" w:before="120" w:after="120"/>
        <w:ind w:firstLine="709" w:left="0"/>
        <w:contextualSpacing w:val="false"/>
        <w:jc w:val="both"/>
        <w:outlineLvl w:val="0"/>
        <w:rPr>
          <w:rFonts w:ascii="Aptos Display" w:hAnsi="Aptos Display" w:eastAsia="Times New Roman" w:cs="Aptos Display" w:asciiTheme="majorHAnsi" w:cstheme="majorHAnsi" w:hAnsiTheme="majorHAnsi"/>
          <w:b/>
          <w:iCs/>
          <w:color w:themeColor="text1" w:val="000000"/>
          <w:spacing w:val="-8"/>
          <w:sz w:val="28"/>
          <w:szCs w:val="28"/>
          <w:shd w:fill="FFFF00" w:val="clear"/>
        </w:rPr>
      </w:pPr>
      <w:r>
        <w:rPr>
          <w:rFonts w:eastAsia="Times New Roman" w:cs="Aptos Display" w:ascii="Aptos Display" w:hAnsi="Aptos Display" w:asciiTheme="majorHAnsi" w:cstheme="majorHAnsi" w:hAnsiTheme="majorHAnsi"/>
          <w:b/>
          <w:bCs/>
          <w:color w:themeColor="text1" w:val="000000"/>
          <w:spacing w:val="-8"/>
          <w:sz w:val="28"/>
          <w:szCs w:val="28"/>
        </w:rPr>
        <w:t xml:space="preserve"> </w:t>
      </w:r>
      <w:bookmarkStart w:id="0" w:name="_Hlk230960727"/>
      <w:r>
        <w:rPr>
          <w:rFonts w:eastAsia="Times New Roman" w:cs="Aptos Display" w:ascii="Aptos Display" w:hAnsi="Aptos Display" w:asciiTheme="majorHAnsi" w:cstheme="majorHAnsi" w:hAnsiTheme="majorHAnsi"/>
          <w:b/>
          <w:bCs/>
          <w:color w:themeColor="text1" w:val="000000"/>
          <w:spacing w:val="-8"/>
          <w:sz w:val="28"/>
          <w:szCs w:val="28"/>
        </w:rPr>
        <w:t xml:space="preserve">Sửa đổi, bổ sung một số điều của Luật Bảo vệ và kiểm dịch thực vật </w:t>
      </w:r>
      <w:bookmarkEnd w:id="0"/>
    </w:p>
    <w:p>
      <w:pPr>
        <w:pStyle w:val="ListParagraph"/>
        <w:widowControl w:val="false"/>
        <w:numPr>
          <w:ilvl w:val="0"/>
          <w:numId w:val="1"/>
        </w:numPr>
        <w:tabs>
          <w:tab w:val="clear" w:pos="170"/>
          <w:tab w:val="left" w:pos="993" w:leader="none"/>
        </w:tabs>
        <w:suppressAutoHyphens w:val="false"/>
        <w:spacing w:lineRule="exact" w:line="360" w:before="120" w:after="120"/>
        <w:ind w:firstLine="709" w:left="720"/>
        <w:contextualSpacing w:val="false"/>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Sửa đổi, bổ sung khoản 3 Điều 51 như sau:</w:t>
      </w:r>
    </w:p>
    <w:p>
      <w:pPr>
        <w:pStyle w:val="Normal"/>
        <w:widowControl w:val="false"/>
        <w:numPr>
          <w:ilvl w:val="0"/>
          <w:numId w:val="0"/>
        </w:numPr>
        <w:tabs>
          <w:tab w:val="clear" w:pos="170"/>
          <w:tab w:val="left" w:pos="993" w:leader="none"/>
        </w:tabs>
        <w:suppressAutoHyphens w:val="false"/>
        <w:spacing w:lineRule="exact" w:line="360" w:before="120" w:after="120"/>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 xml:space="preserve">          “</w:t>
      </w:r>
      <w:r>
        <w:rPr>
          <w:rFonts w:cs="Aptos Display" w:ascii="Aptos Display" w:hAnsi="Aptos Display" w:asciiTheme="majorHAnsi" w:cstheme="majorHAnsi" w:hAnsiTheme="majorHAnsi"/>
          <w:iCs/>
          <w:color w:themeColor="text1" w:val="000000"/>
          <w:spacing w:val="-4"/>
          <w:sz w:val="28"/>
          <w:szCs w:val="28"/>
        </w:rPr>
        <w:t>3. Giấy chứng nhận đăng ký thuốc bảo vệ thực vật có thời hạn 10 năm và được gia hạn.”.</w:t>
      </w:r>
    </w:p>
    <w:p>
      <w:pPr>
        <w:pStyle w:val="ListParagraph"/>
        <w:widowControl w:val="false"/>
        <w:numPr>
          <w:ilvl w:val="0"/>
          <w:numId w:val="1"/>
        </w:numPr>
        <w:tabs>
          <w:tab w:val="clear" w:pos="170"/>
          <w:tab w:val="left" w:pos="993" w:leader="none"/>
        </w:tabs>
        <w:suppressAutoHyphens w:val="false"/>
        <w:spacing w:lineRule="exact" w:line="360" w:before="120" w:after="120"/>
        <w:contextualSpacing/>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 xml:space="preserve">Sửa đổi, bổ sung khoản 4 Điều 52 như sau: </w:t>
      </w:r>
    </w:p>
    <w:p>
      <w:pPr>
        <w:pStyle w:val="Normal"/>
        <w:widowControl w:val="false"/>
        <w:numPr>
          <w:ilvl w:val="0"/>
          <w:numId w:val="0"/>
        </w:numPr>
        <w:tabs>
          <w:tab w:val="clear" w:pos="170"/>
          <w:tab w:val="left" w:pos="993" w:leader="none"/>
        </w:tabs>
        <w:suppressAutoHyphens w:val="false"/>
        <w:spacing w:lineRule="exact" w:line="360" w:before="120" w:after="120"/>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 xml:space="preserve">           “</w:t>
      </w:r>
      <w:r>
        <w:rPr>
          <w:rFonts w:cs="Aptos Display" w:ascii="Aptos Display" w:hAnsi="Aptos Display" w:asciiTheme="majorHAnsi" w:cstheme="majorHAnsi" w:hAnsiTheme="majorHAnsi"/>
          <w:iCs/>
          <w:color w:themeColor="text1" w:val="000000"/>
          <w:spacing w:val="-4"/>
          <w:sz w:val="28"/>
          <w:szCs w:val="28"/>
        </w:rPr>
        <w:t>Giấy chứng nhận đăng ký thuốc bảo vệ thực vật được gia hạn có thời hạn 10 năm.”.</w:t>
      </w:r>
    </w:p>
    <w:p>
      <w:pPr>
        <w:pStyle w:val="ListParagraph"/>
        <w:widowControl w:val="false"/>
        <w:numPr>
          <w:ilvl w:val="0"/>
          <w:numId w:val="1"/>
        </w:numPr>
        <w:tabs>
          <w:tab w:val="clear" w:pos="170"/>
          <w:tab w:val="left" w:pos="993" w:leader="none"/>
        </w:tabs>
        <w:suppressAutoHyphens w:val="false"/>
        <w:spacing w:lineRule="exact" w:line="360" w:before="120" w:after="120"/>
        <w:contextualSpacing/>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 xml:space="preserve">Sửa đổi, bổ sung Điều 66 như sau: </w:t>
      </w:r>
    </w:p>
    <w:p>
      <w:pPr>
        <w:pStyle w:val="Normal"/>
        <w:widowControl w:val="false"/>
        <w:numPr>
          <w:ilvl w:val="0"/>
          <w:numId w:val="0"/>
        </w:numPr>
        <w:tabs>
          <w:tab w:val="clear" w:pos="170"/>
          <w:tab w:val="left" w:pos="993" w:leader="none"/>
        </w:tabs>
        <w:suppressAutoHyphens w:val="false"/>
        <w:spacing w:lineRule="exact" w:line="360" w:before="120" w:after="120"/>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 xml:space="preserve">          “</w:t>
      </w:r>
      <w:bookmarkStart w:id="1" w:name="dieu_66"/>
      <w:r>
        <w:rPr>
          <w:rFonts w:cs="Aptos Display" w:ascii="Aptos Display" w:hAnsi="Aptos Display" w:asciiTheme="majorHAnsi" w:cstheme="majorHAnsi" w:hAnsiTheme="majorHAnsi"/>
          <w:b/>
          <w:bCs/>
          <w:iCs/>
          <w:color w:themeColor="text1" w:val="000000"/>
          <w:spacing w:val="-4"/>
          <w:sz w:val="28"/>
          <w:szCs w:val="28"/>
        </w:rPr>
        <w:t>Điều 66. Thời hạn hiệu lực của Giấy chứng nhận đủ điều kiện sản xuất thuốc bảo vệ thực vật</w:t>
      </w:r>
      <w:bookmarkEnd w:id="1"/>
    </w:p>
    <w:p>
      <w:pPr>
        <w:pStyle w:val="Normal"/>
        <w:widowControl w:val="false"/>
        <w:numPr>
          <w:ilvl w:val="0"/>
          <w:numId w:val="0"/>
        </w:numPr>
        <w:tabs>
          <w:tab w:val="clear" w:pos="170"/>
          <w:tab w:val="left" w:pos="709" w:leader="none"/>
        </w:tabs>
        <w:suppressAutoHyphens w:val="false"/>
        <w:spacing w:lineRule="exact" w:line="360" w:before="120" w:after="120"/>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ab/>
        <w:t xml:space="preserve">Giấy chứng nhận đủ điều kiện sản xuất thuốc bảo vệ thực vật có thời hạn 05 năm.”. </w:t>
      </w:r>
    </w:p>
    <w:p>
      <w:pPr>
        <w:pStyle w:val="ListParagraph"/>
        <w:widowControl w:val="false"/>
        <w:numPr>
          <w:ilvl w:val="0"/>
          <w:numId w:val="1"/>
        </w:numPr>
        <w:tabs>
          <w:tab w:val="clear" w:pos="170"/>
          <w:tab w:val="left" w:pos="993" w:leader="none"/>
        </w:tabs>
        <w:suppressAutoHyphens w:val="false"/>
        <w:spacing w:lineRule="exact" w:line="360" w:before="120" w:after="120"/>
        <w:contextualSpacing/>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 xml:space="preserve">Sửa đổi, bổ sung khoản 3 Điều 67 như sau: </w:t>
      </w:r>
    </w:p>
    <w:p>
      <w:pPr>
        <w:pStyle w:val="Normal"/>
        <w:widowControl w:val="false"/>
        <w:numPr>
          <w:ilvl w:val="0"/>
          <w:numId w:val="0"/>
        </w:numPr>
        <w:tabs>
          <w:tab w:val="clear" w:pos="170"/>
          <w:tab w:val="left" w:pos="993" w:leader="none"/>
        </w:tabs>
        <w:suppressAutoHyphens w:val="false"/>
        <w:spacing w:lineRule="exact" w:line="360" w:before="120" w:after="120"/>
        <w:jc w:val="both"/>
        <w:outlineLvl w:val="1"/>
        <w:rPr>
          <w:rFonts w:ascii="Aptos Display" w:hAnsi="Aptos Display" w:cs="Aptos Display" w:asciiTheme="majorHAnsi" w:cstheme="majorHAnsi" w:hAnsiTheme="majorHAnsi"/>
          <w:iCs/>
          <w:color w:themeColor="text1" w:val="000000"/>
          <w:spacing w:val="-4"/>
          <w:sz w:val="28"/>
          <w:szCs w:val="28"/>
        </w:rPr>
      </w:pPr>
      <w:r>
        <w:rPr>
          <w:rFonts w:cs="Aptos Display" w:ascii="Aptos Display" w:hAnsi="Aptos Display" w:asciiTheme="majorHAnsi" w:cstheme="majorHAnsi" w:hAnsiTheme="majorHAnsi"/>
          <w:iCs/>
          <w:color w:themeColor="text1" w:val="000000"/>
          <w:spacing w:val="-4"/>
          <w:sz w:val="28"/>
          <w:szCs w:val="28"/>
        </w:rPr>
        <w:t xml:space="preserve">           “</w:t>
      </w:r>
      <w:r>
        <w:rPr>
          <w:rFonts w:cs="Aptos Display" w:ascii="Aptos Display" w:hAnsi="Aptos Display" w:asciiTheme="majorHAnsi" w:cstheme="majorHAnsi" w:hAnsiTheme="majorHAnsi"/>
          <w:iCs/>
          <w:color w:themeColor="text1" w:val="000000"/>
          <w:spacing w:val="-4"/>
          <w:sz w:val="28"/>
          <w:szCs w:val="28"/>
        </w:rPr>
        <w:t xml:space="preserve">3. Thuốc bảo vệ thực vật nhập khẩu quy định tại khoản 1 và điểm b khoản 2 Điều này phải được Chủ tịch Ủy ban nhân dân cấp tỉnh tổ chức thực hiện </w:t>
      </w:r>
      <w:r>
        <w:rPr>
          <w:rFonts w:cs="Aptos Display" w:ascii="Aptos Display" w:hAnsi="Aptos Display" w:asciiTheme="majorHAnsi" w:cstheme="majorHAnsi" w:hAnsiTheme="majorHAnsi"/>
          <w:bCs/>
          <w:iCs/>
          <w:color w:themeColor="text1" w:val="000000"/>
          <w:spacing w:val="-4"/>
          <w:sz w:val="28"/>
          <w:szCs w:val="28"/>
        </w:rPr>
        <w:t>kiểm tra nhà nước về chất lượng thuốc bảo vệ thực vật nhập khẩu</w:t>
      </w:r>
      <w:r>
        <w:rPr>
          <w:rFonts w:cs="Aptos Display" w:ascii="Aptos Display" w:hAnsi="Aptos Display" w:asciiTheme="majorHAnsi" w:cstheme="majorHAnsi" w:hAnsiTheme="majorHAnsi"/>
          <w:iCs/>
          <w:color w:themeColor="text1" w:val="000000"/>
          <w:spacing w:val="-4"/>
          <w:sz w:val="28"/>
          <w:szCs w:val="28"/>
        </w:rPr>
        <w:t xml:space="preserve"> theo quy định của pháp luật về chất lượng sản phẩm hàng hóa.”. </w:t>
      </w:r>
    </w:p>
    <w:p>
      <w:pPr>
        <w:pStyle w:val="ListParagraph"/>
        <w:widowControl w:val="false"/>
        <w:numPr>
          <w:ilvl w:val="0"/>
          <w:numId w:val="1"/>
        </w:numPr>
        <w:tabs>
          <w:tab w:val="clear" w:pos="170"/>
          <w:tab w:val="left" w:pos="993" w:leader="none"/>
        </w:tabs>
        <w:suppressAutoHyphens w:val="false"/>
        <w:spacing w:lineRule="exact" w:line="360" w:before="120" w:after="120"/>
        <w:contextualSpacing/>
        <w:jc w:val="both"/>
        <w:outlineLvl w:val="1"/>
        <w:rPr>
          <w:rFonts w:ascii="Aptos Display" w:hAnsi="Aptos Display" w:cs="Aptos Display" w:asciiTheme="majorHAnsi" w:cstheme="majorHAnsi" w:hAnsiTheme="majorHAnsi"/>
          <w:iCs/>
          <w:color w:themeColor="text1" w:val="000000"/>
          <w:spacing w:val="-4"/>
          <w:sz w:val="28"/>
          <w:szCs w:val="28"/>
        </w:rPr>
      </w:pPr>
      <w:bookmarkStart w:id="2" w:name="khoan_8_2"/>
      <w:r>
        <w:rPr>
          <w:color w:themeColor="text1" w:val="000000"/>
          <w:sz w:val="28"/>
          <w:szCs w:val="28"/>
        </w:rPr>
        <w:t>Bãi bỏ một số điều, khoản, điểm và cụm từ sau đây:</w:t>
      </w:r>
      <w:bookmarkEnd w:id="2"/>
      <w:r>
        <w:rPr>
          <w:color w:themeColor="text1" w:val="000000"/>
          <w:sz w:val="28"/>
          <w:szCs w:val="28"/>
        </w:rPr>
        <w:t xml:space="preserve"> </w:t>
      </w:r>
    </w:p>
    <w:p>
      <w:pPr>
        <w:pStyle w:val="Normal"/>
        <w:spacing w:lineRule="exact" w:line="360" w:before="120" w:after="120"/>
        <w:ind w:firstLine="709"/>
        <w:jc w:val="both"/>
        <w:rPr>
          <w:color w:themeColor="text1" w:val="000000"/>
          <w:sz w:val="28"/>
          <w:szCs w:val="28"/>
        </w:rPr>
      </w:pPr>
      <w:r>
        <w:rPr>
          <w:color w:themeColor="text1" w:val="000000"/>
          <w:sz w:val="28"/>
          <w:szCs w:val="28"/>
        </w:rPr>
        <w:t xml:space="preserve">a) Bãi bỏ Điều 23 và điểm a khoản 2 Điều 24; </w:t>
      </w:r>
    </w:p>
    <w:p>
      <w:pPr>
        <w:pStyle w:val="Normal"/>
        <w:spacing w:lineRule="exact" w:line="360" w:before="120" w:after="120"/>
        <w:ind w:firstLine="709"/>
        <w:jc w:val="both"/>
        <w:rPr>
          <w:color w:themeColor="text1" w:val="000000"/>
          <w:sz w:val="28"/>
          <w:szCs w:val="28"/>
        </w:rPr>
      </w:pPr>
      <w:r>
        <w:rPr>
          <w:color w:themeColor="text1" w:val="000000"/>
          <w:sz w:val="28"/>
          <w:szCs w:val="28"/>
        </w:rPr>
        <w:t>b) Bỏ cụm từ “cấp lại,” tại khoản 2 Điều 63.</w:t>
      </w:r>
    </w:p>
    <w:p>
      <w:pPr>
        <w:pStyle w:val="ListParagraph"/>
        <w:widowControl w:val="false"/>
        <w:numPr>
          <w:ilvl w:val="0"/>
          <w:numId w:val="4"/>
        </w:numPr>
        <w:tabs>
          <w:tab w:val="clear" w:pos="170"/>
          <w:tab w:val="left" w:pos="1276" w:leader="none"/>
          <w:tab w:val="left" w:pos="1560" w:leader="none"/>
        </w:tabs>
        <w:suppressAutoHyphens w:val="false"/>
        <w:spacing w:lineRule="exact" w:line="360" w:before="120" w:after="120"/>
        <w:ind w:firstLine="709" w:left="0"/>
        <w:contextualSpacing w:val="false"/>
        <w:jc w:val="both"/>
        <w:outlineLvl w:val="0"/>
        <w:rPr>
          <w:rFonts w:ascii="Aptos Display" w:hAnsi="Aptos Display" w:eastAsia="Times New Roman" w:cs="Aptos Display" w:asciiTheme="majorHAnsi" w:cstheme="majorHAnsi" w:hAnsiTheme="majorHAnsi"/>
          <w:b/>
          <w:bCs/>
          <w:color w:themeColor="text1" w:val="000000"/>
          <w:sz w:val="28"/>
          <w:szCs w:val="28"/>
          <w:shd w:fill="FFFF00" w:val="clear"/>
        </w:rPr>
      </w:pPr>
      <w:bookmarkStart w:id="3" w:name="_Hlk230960754"/>
      <w:bookmarkStart w:id="4" w:name="_Toc201588381"/>
      <w:r>
        <w:rPr>
          <w:rFonts w:cs="Aptos Display" w:ascii="Aptos Display" w:hAnsi="Aptos Display" w:asciiTheme="majorHAnsi" w:cstheme="majorHAnsi" w:hAnsiTheme="majorHAnsi"/>
          <w:iCs/>
          <w:color w:themeColor="text1" w:val="000000"/>
          <w:spacing w:val="-4"/>
          <w:sz w:val="28"/>
          <w:szCs w:val="28"/>
        </w:rPr>
        <w:t xml:space="preserve"> </w:t>
      </w:r>
      <w:r>
        <w:rPr>
          <w:rFonts w:eastAsia="Times New Roman" w:cs="Aptos Display" w:ascii="Aptos Display" w:hAnsi="Aptos Display" w:asciiTheme="majorHAnsi" w:cstheme="majorHAnsi" w:hAnsiTheme="majorHAnsi"/>
          <w:b/>
          <w:bCs/>
          <w:color w:themeColor="text1" w:val="000000"/>
          <w:sz w:val="28"/>
          <w:szCs w:val="28"/>
        </w:rPr>
        <w:t>Sửa đổi, bổ sung một số điều của Luật Chăn nuôi</w:t>
      </w:r>
      <w:bookmarkEnd w:id="4"/>
      <w:r>
        <w:rPr>
          <w:rFonts w:eastAsia="Times New Roman" w:cs="Aptos Display" w:ascii="Aptos Display" w:hAnsi="Aptos Display" w:asciiTheme="majorHAnsi" w:cstheme="majorHAnsi" w:hAnsiTheme="majorHAnsi"/>
          <w:b/>
          <w:bCs/>
          <w:color w:themeColor="text1" w:val="000000"/>
          <w:sz w:val="28"/>
          <w:szCs w:val="28"/>
        </w:rPr>
        <w:t xml:space="preserve"> </w:t>
      </w:r>
    </w:p>
    <w:p>
      <w:pPr>
        <w:pStyle w:val="ListParagraph"/>
        <w:widowControl w:val="false"/>
        <w:numPr>
          <w:ilvl w:val="0"/>
          <w:numId w:val="2"/>
        </w:numPr>
        <w:tabs>
          <w:tab w:val="clear" w:pos="170"/>
          <w:tab w:val="left" w:pos="993" w:leader="none"/>
        </w:tabs>
        <w:suppressAutoHyphens w:val="false"/>
        <w:spacing w:lineRule="exact" w:line="360" w:before="120" w:after="120"/>
        <w:ind w:firstLine="709" w:left="0"/>
        <w:contextualSpacing w:val="false"/>
        <w:jc w:val="both"/>
        <w:outlineLvl w:val="1"/>
        <w:rPr>
          <w:color w:themeColor="text1" w:val="000000"/>
          <w:sz w:val="28"/>
          <w:szCs w:val="28"/>
        </w:rPr>
      </w:pPr>
      <w:bookmarkStart w:id="5" w:name="_Toc406999161"/>
      <w:bookmarkStart w:id="6" w:name="_Toc394420829"/>
      <w:bookmarkStart w:id="7" w:name="_Toc391449152"/>
      <w:r>
        <w:rPr>
          <w:color w:themeColor="text1" w:val="000000"/>
          <w:position w:val="4"/>
          <w:sz w:val="28"/>
          <w:szCs w:val="28"/>
        </w:rPr>
        <w:t>Sửa đổi, bổ sung khoản 2 Điều 15 như sau:</w:t>
      </w:r>
    </w:p>
    <w:p>
      <w:pPr>
        <w:pStyle w:val="Normal"/>
        <w:widowControl w:val="false"/>
        <w:pBdr/>
        <w:spacing w:lineRule="exact" w:line="360" w:before="120" w:after="120"/>
        <w:ind w:firstLine="680"/>
        <w:jc w:val="both"/>
        <w:rPr>
          <w:iCs/>
          <w:color w:themeColor="text1" w:val="000000"/>
          <w:sz w:val="28"/>
          <w:szCs w:val="28"/>
        </w:rPr>
      </w:pPr>
      <w:r>
        <w:rPr>
          <w:iCs/>
          <w:color w:themeColor="text1" w:val="000000"/>
          <w:sz w:val="28"/>
          <w:szCs w:val="28"/>
        </w:rPr>
        <w:t>“</w:t>
      </w:r>
      <w:r>
        <w:rPr>
          <w:iCs/>
          <w:color w:themeColor="text1" w:val="000000"/>
          <w:sz w:val="28"/>
          <w:szCs w:val="28"/>
        </w:rPr>
        <w:t xml:space="preserve">2. Việc trao đổi quốc tế nguồn gen giống vật nuôi có trong Danh mục giống vật nuôi cấm xuất khẩu để phục vụ nghiên cứu khoa học, triển lãm, quảng cáo và việc trao đổi nguồn gen giống vật nuôi quý, hiếm của Việt Nam cho bên thứ ba phải được Chủ tịch Ủy ban nhân dân cấp tỉnh nơi lưu giữ nguồn gen chấp thuận”. </w:t>
      </w:r>
    </w:p>
    <w:p>
      <w:pPr>
        <w:pStyle w:val="ListParagraph"/>
        <w:widowControl w:val="false"/>
        <w:numPr>
          <w:ilvl w:val="0"/>
          <w:numId w:val="2"/>
        </w:numPr>
        <w:tabs>
          <w:tab w:val="clear" w:pos="170"/>
          <w:tab w:val="left" w:pos="993" w:leader="none"/>
        </w:tabs>
        <w:suppressAutoHyphens w:val="false"/>
        <w:spacing w:lineRule="exact" w:line="360" w:before="120" w:after="120"/>
        <w:ind w:firstLine="709" w:left="0"/>
        <w:contextualSpacing w:val="false"/>
        <w:jc w:val="both"/>
        <w:outlineLvl w:val="1"/>
        <w:rPr>
          <w:color w:themeColor="text1" w:val="000000"/>
          <w:sz w:val="28"/>
          <w:szCs w:val="28"/>
        </w:rPr>
      </w:pPr>
      <w:r>
        <w:rPr>
          <w:color w:themeColor="text1" w:val="000000"/>
          <w:position w:val="4"/>
          <w:sz w:val="28"/>
          <w:szCs w:val="28"/>
        </w:rPr>
        <w:t>Sửa đổi, bổ sung khoản 4 Điều 20 như sau:</w:t>
      </w:r>
    </w:p>
    <w:p>
      <w:pPr>
        <w:pStyle w:val="Normal"/>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w:t>
      </w:r>
      <w:r>
        <w:rPr>
          <w:rFonts w:eastAsia="Times New Roman"/>
          <w:color w:themeColor="text1" w:val="000000"/>
          <w:sz w:val="28"/>
          <w:szCs w:val="28"/>
        </w:rPr>
        <w:t>4. Tổ chức, cá nhân nhập khẩu đực giống, tinh, phôi giống gia súc thực hiện như sau:</w:t>
      </w:r>
    </w:p>
    <w:p>
      <w:pPr>
        <w:pStyle w:val="Normal"/>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 xml:space="preserve">a) Công bố tiêu chuẩn áp dụng theo quy định của pháp luật về chăn nuôi trước khi đưa vào sản xuất, kinh doanh; chịu trách nhiệm về nguồn gốc, xuất xứ, lý lịch, hệ phả, năng suất, chất lượng của dòng, giống nhập khẩu; </w:t>
      </w:r>
    </w:p>
    <w:p>
      <w:pPr>
        <w:pStyle w:val="Normal"/>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b) Đối với đực giống gia súc là dòng, giống vật nuôi mới phải thực hiện khảo nghiệm theo quy định tại Điều 26 Luật này trước khi đưa vào sản xuất, kinh doanh.”.</w:t>
      </w:r>
    </w:p>
    <w:p>
      <w:pPr>
        <w:pStyle w:val="ListParagraph"/>
        <w:widowControl w:val="false"/>
        <w:numPr>
          <w:ilvl w:val="0"/>
          <w:numId w:val="2"/>
        </w:numPr>
        <w:tabs>
          <w:tab w:val="clear" w:pos="170"/>
          <w:tab w:val="left" w:pos="993" w:leader="none"/>
        </w:tabs>
        <w:suppressAutoHyphens w:val="false"/>
        <w:spacing w:lineRule="exact" w:line="360" w:before="120" w:after="120"/>
        <w:ind w:firstLine="709" w:left="0"/>
        <w:contextualSpacing w:val="false"/>
        <w:jc w:val="both"/>
        <w:outlineLvl w:val="1"/>
        <w:rPr>
          <w:color w:themeColor="text1" w:val="000000"/>
          <w:sz w:val="28"/>
          <w:szCs w:val="28"/>
        </w:rPr>
      </w:pPr>
      <w:r>
        <w:rPr>
          <w:color w:themeColor="text1" w:val="000000"/>
          <w:position w:val="4"/>
          <w:sz w:val="28"/>
          <w:szCs w:val="28"/>
        </w:rPr>
        <w:t>Sửa đổi, bổ sung khoản 3 và khoản 4 Điều 26 như sau:</w:t>
      </w:r>
    </w:p>
    <w:p>
      <w:pPr>
        <w:pStyle w:val="Normal"/>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w:t>
      </w:r>
      <w:r>
        <w:rPr>
          <w:rFonts w:eastAsia="Times New Roman"/>
          <w:color w:themeColor="text1" w:val="000000"/>
          <w:sz w:val="28"/>
          <w:szCs w:val="28"/>
        </w:rPr>
        <w:t xml:space="preserve">3.  Tổ chức, cá nhân có nhu cầu công nhận dòng, giống vật nuôi mới phải thực hiện khảo nghiệm theo quy định về khảo nghiệm dòng, giống vật nuôi. </w:t>
      </w:r>
    </w:p>
    <w:p>
      <w:pPr>
        <w:pStyle w:val="Normal"/>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4.  Bộ trưởng Bộ Nông nghiệp và Môi trường quy định chi tiết Điều này”.</w:t>
      </w:r>
    </w:p>
    <w:p>
      <w:pPr>
        <w:pStyle w:val="ListParagraph"/>
        <w:widowControl w:val="false"/>
        <w:numPr>
          <w:ilvl w:val="0"/>
          <w:numId w:val="2"/>
        </w:numPr>
        <w:tabs>
          <w:tab w:val="clear" w:pos="170"/>
          <w:tab w:val="left" w:pos="993" w:leader="none"/>
        </w:tabs>
        <w:suppressAutoHyphens w:val="false"/>
        <w:spacing w:lineRule="exact" w:line="360" w:before="120" w:after="120"/>
        <w:ind w:firstLine="709" w:left="0"/>
        <w:contextualSpacing w:val="false"/>
        <w:jc w:val="both"/>
        <w:outlineLvl w:val="1"/>
        <w:rPr>
          <w:color w:themeColor="text1" w:val="000000"/>
          <w:sz w:val="28"/>
          <w:szCs w:val="28"/>
        </w:rPr>
      </w:pPr>
      <w:r>
        <w:rPr>
          <w:color w:themeColor="text1" w:val="000000"/>
          <w:position w:val="4"/>
          <w:sz w:val="28"/>
          <w:szCs w:val="28"/>
        </w:rPr>
        <w:t>Sửa đổi, bổ sung Điều 33 như sau:</w:t>
      </w:r>
    </w:p>
    <w:p>
      <w:pPr>
        <w:pStyle w:val="Normal"/>
        <w:pBdr/>
        <w:spacing w:lineRule="exact" w:line="360" w:before="120" w:after="120"/>
        <w:ind w:firstLine="680"/>
        <w:jc w:val="both"/>
        <w:rPr>
          <w:rFonts w:eastAsia="Times New Roman"/>
          <w:b/>
          <w:bCs/>
          <w:color w:themeColor="text1" w:val="000000"/>
          <w:sz w:val="28"/>
          <w:szCs w:val="28"/>
        </w:rPr>
      </w:pPr>
      <w:r>
        <w:rPr>
          <w:rFonts w:eastAsia="Times New Roman"/>
          <w:color w:themeColor="text1" w:val="000000"/>
          <w:sz w:val="28"/>
          <w:szCs w:val="28"/>
        </w:rPr>
        <w:t>“</w:t>
      </w:r>
      <w:r>
        <w:rPr>
          <w:rFonts w:eastAsia="Times New Roman"/>
          <w:b/>
          <w:bCs/>
          <w:color w:themeColor="text1" w:val="000000"/>
          <w:sz w:val="28"/>
          <w:szCs w:val="28"/>
        </w:rPr>
        <w:t>Điều 33. Công bố, thay đổi thông tin sản phẩm thức ăn chăn nuôi</w:t>
      </w:r>
    </w:p>
    <w:p>
      <w:pPr>
        <w:pStyle w:val="Normal"/>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1. Sản phẩm thức ăn chăn nuôi (không bao gồm thức ăn truyền thống và nguyên liệu đơn) do tổ chức, cá nhân sản xuất, kinh doanh tự công bố, tự thay đổi thông tin trên Cổng thông tin điện tử của Bộ Nông nghiệp và Môi trường.</w:t>
      </w:r>
    </w:p>
    <w:p>
      <w:pPr>
        <w:pStyle w:val="Normal"/>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2. Chính phủ quy định chi tiết Điều này”.</w:t>
      </w:r>
    </w:p>
    <w:p>
      <w:pPr>
        <w:pStyle w:val="ListParagraph"/>
        <w:widowControl w:val="false"/>
        <w:numPr>
          <w:ilvl w:val="0"/>
          <w:numId w:val="2"/>
        </w:numPr>
        <w:tabs>
          <w:tab w:val="clear" w:pos="170"/>
          <w:tab w:val="left" w:pos="993" w:leader="none"/>
        </w:tabs>
        <w:suppressAutoHyphens w:val="false"/>
        <w:spacing w:lineRule="exact" w:line="360" w:before="120" w:after="120"/>
        <w:ind w:firstLine="709" w:left="0"/>
        <w:contextualSpacing w:val="false"/>
        <w:jc w:val="both"/>
        <w:outlineLvl w:val="1"/>
        <w:rPr>
          <w:color w:themeColor="text1" w:val="000000"/>
          <w:sz w:val="28"/>
          <w:szCs w:val="28"/>
        </w:rPr>
      </w:pPr>
      <w:r>
        <w:rPr>
          <w:color w:themeColor="text1" w:val="000000"/>
          <w:position w:val="4"/>
          <w:sz w:val="28"/>
          <w:szCs w:val="28"/>
        </w:rPr>
        <w:t>Sửa đổi, bổ sung  Điều 39 như sau:</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w:t>
      </w:r>
      <w:r>
        <w:rPr>
          <w:rFonts w:eastAsia="Times New Roman"/>
          <w:b/>
          <w:bCs/>
          <w:color w:themeColor="text1" w:val="000000"/>
          <w:sz w:val="28"/>
          <w:szCs w:val="28"/>
        </w:rPr>
        <w:t>Điều 39. Cấp, thu hồi Giấy chứng nhận đủ điều kiện sản xuất thức ăn chăn nuôi</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1. Chủ tịch Ủy ban nhân dân cấp tỉnh cấp, thu hồi Giấy chứng nhận đủ điều kiện sản xuất thức ăn chăn nuôi đối với các cơ sở sản xuất thức ăn chăn nuôi trên địa bàn. Trường hợp nước nhập khẩu có yêu cầu khác, thẩm quyền cấp, thu hồi Giấy chứng nhận đủ điều kiện sản xuất thức ăn chăn nuôi đối với các cơ sở sản xuất thức ăn chăn nuôi thực hiện theo quy định của Chính phủ.</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2. Giấy chứng nhận đủ điều kiện sản xuất thức ăn chăn nuôi bị thu hồi trong trường hợp sau đây:</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a) Bị tẩy, xóa, sửa chữa nội dung trong Giấy chứng nhận đủ điều kiện sản xuất thức ăn chăn nuôi;</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b) Cơ sở không còn đủ điều kiện quy định tại khoản 1 Điều 38 của Luật này;</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c) Cơ sở có hành vi vi phạm khác mà pháp luật quy định phải thu hồi Giấy chứng nhận đủ điều kiện sản xuất thức ăn chăn nuôi;</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d) Cơ sở sản xuất thức ăn chăn nuôi không thực hiện yêu cầu về giám sát duy trì điều kiện sản xuất của cơ quan có thẩm quyền cấp Giấy chứng nhận đủ điều kiện sản xuất thức ăn chăn nuôi;</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đ) Theo đề nghị của tổ chức, cá nhân được cấp Giấy chứng nhận đủ điều kiện sản xuất thức ăn chăn nuôi.</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e) Cơ sở sản xuất thức ăn chăn nuôi thay đổi địa điểm sản xuất.</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3. Chính phủ quy định hồ sơ, trình tự, thủ tục cấp, thu hồi Giấy chứng nhận đủ điều kiện sản xuất thức ăn chăn nuôi; thay đổi thông tin của tổ chức, cá nhân trong Giấy chứng nhận đủ điều kiện sản xuất thức ăn chăn nuôi.”.</w:t>
      </w:r>
    </w:p>
    <w:p>
      <w:pPr>
        <w:pStyle w:val="ListParagraph"/>
        <w:widowControl w:val="false"/>
        <w:numPr>
          <w:ilvl w:val="0"/>
          <w:numId w:val="2"/>
        </w:numPr>
        <w:tabs>
          <w:tab w:val="clear" w:pos="170"/>
          <w:tab w:val="left" w:pos="993" w:leader="none"/>
        </w:tabs>
        <w:suppressAutoHyphens w:val="false"/>
        <w:spacing w:lineRule="exact" w:line="360" w:before="120" w:after="120"/>
        <w:ind w:firstLine="709" w:left="0"/>
        <w:contextualSpacing w:val="false"/>
        <w:jc w:val="both"/>
        <w:outlineLvl w:val="1"/>
        <w:rPr>
          <w:color w:themeColor="text1" w:val="000000"/>
          <w:sz w:val="28"/>
          <w:szCs w:val="28"/>
        </w:rPr>
      </w:pPr>
      <w:r>
        <w:rPr>
          <w:color w:themeColor="text1" w:val="000000"/>
          <w:position w:val="4"/>
          <w:sz w:val="28"/>
          <w:szCs w:val="28"/>
        </w:rPr>
        <w:t>Sửa đổi, bổ sung Điều 58 như sau:</w:t>
      </w:r>
    </w:p>
    <w:p>
      <w:pPr>
        <w:pStyle w:val="NormalWeb"/>
        <w:shd w:val="clear" w:color="auto" w:fill="FFFFFF"/>
        <w:spacing w:lineRule="exact" w:line="360" w:before="120" w:after="120"/>
        <w:ind w:firstLine="680"/>
        <w:jc w:val="both"/>
        <w:rPr>
          <w:b/>
          <w:bCs/>
          <w:iCs/>
          <w:color w:themeColor="text1" w:val="000000"/>
          <w:sz w:val="28"/>
          <w:szCs w:val="28"/>
        </w:rPr>
      </w:pPr>
      <w:r>
        <w:rPr>
          <w:iCs/>
          <w:color w:themeColor="text1" w:val="000000"/>
          <w:sz w:val="28"/>
          <w:szCs w:val="28"/>
        </w:rPr>
        <w:t>“</w:t>
      </w:r>
      <w:r>
        <w:rPr>
          <w:b/>
          <w:bCs/>
          <w:iCs/>
          <w:color w:themeColor="text1" w:val="000000"/>
          <w:sz w:val="28"/>
          <w:szCs w:val="28"/>
        </w:rPr>
        <w:t>Điều 58. Cấp, thu hồi Giấy chứng nhận đủ điều kiện chăn nuôi đối với chăn nuôi trang trại quy mô lớn</w:t>
      </w:r>
    </w:p>
    <w:p>
      <w:pPr>
        <w:pStyle w:val="NormalWeb"/>
        <w:shd w:val="clear" w:color="auto" w:fill="FFFFFF"/>
        <w:spacing w:lineRule="exact" w:line="360" w:before="120" w:after="120"/>
        <w:ind w:firstLine="680"/>
        <w:jc w:val="both"/>
        <w:rPr>
          <w:iCs/>
          <w:color w:themeColor="text1" w:val="000000"/>
          <w:sz w:val="28"/>
          <w:szCs w:val="28"/>
        </w:rPr>
      </w:pPr>
      <w:r>
        <w:rPr>
          <w:iCs/>
          <w:color w:themeColor="text1" w:val="000000"/>
          <w:sz w:val="28"/>
          <w:szCs w:val="28"/>
        </w:rPr>
        <w:t>1. Chủ tịch Ủy ban nhân dân cấp tỉnh cấp, thu hồi Giấy chứng nhận đủ điều kiện chăn nuôi.</w:t>
      </w:r>
    </w:p>
    <w:p>
      <w:pPr>
        <w:pStyle w:val="NormalWeb"/>
        <w:shd w:val="clear" w:color="auto" w:fill="FFFFFF"/>
        <w:spacing w:lineRule="exact" w:line="360" w:before="120" w:after="120"/>
        <w:ind w:firstLine="680"/>
        <w:jc w:val="both"/>
        <w:rPr>
          <w:iCs/>
          <w:color w:themeColor="text1" w:val="000000"/>
          <w:sz w:val="28"/>
          <w:szCs w:val="28"/>
        </w:rPr>
      </w:pPr>
      <w:r>
        <w:rPr>
          <w:iCs/>
          <w:color w:themeColor="text1" w:val="000000"/>
          <w:sz w:val="28"/>
          <w:szCs w:val="28"/>
        </w:rPr>
        <w:t>2. Giấy chứng nhận đủ điều kiện chăn nuôi bị thu hồi trong trường hợp sau đây:</w:t>
      </w:r>
    </w:p>
    <w:p>
      <w:pPr>
        <w:pStyle w:val="NormalWeb"/>
        <w:shd w:val="clear" w:color="auto" w:fill="FFFFFF"/>
        <w:spacing w:lineRule="exact" w:line="360" w:before="120" w:after="120"/>
        <w:ind w:firstLine="680"/>
        <w:jc w:val="both"/>
        <w:rPr>
          <w:iCs/>
          <w:color w:themeColor="text1" w:val="000000"/>
          <w:sz w:val="28"/>
          <w:szCs w:val="28"/>
        </w:rPr>
      </w:pPr>
      <w:r>
        <w:rPr>
          <w:iCs/>
          <w:color w:themeColor="text1" w:val="000000"/>
          <w:sz w:val="28"/>
          <w:szCs w:val="28"/>
        </w:rPr>
        <w:t>a) Bị tẩy, xóa, sửa chữa nội dung trong Giấy chứng nhận đủ điều kiện chăn nuôi;</w:t>
      </w:r>
    </w:p>
    <w:p>
      <w:pPr>
        <w:pStyle w:val="NormalWeb"/>
        <w:shd w:val="clear" w:color="auto" w:fill="FFFFFF"/>
        <w:spacing w:lineRule="exact" w:line="360" w:before="120" w:after="120"/>
        <w:ind w:firstLine="680"/>
        <w:jc w:val="both"/>
        <w:rPr>
          <w:iCs/>
          <w:color w:themeColor="text1" w:val="000000"/>
          <w:sz w:val="28"/>
          <w:szCs w:val="28"/>
        </w:rPr>
      </w:pPr>
      <w:r>
        <w:rPr>
          <w:iCs/>
          <w:color w:themeColor="text1" w:val="000000"/>
          <w:sz w:val="28"/>
          <w:szCs w:val="28"/>
        </w:rPr>
        <w:t>b) Cơ sở chăn nuôi trang trại không còn đủ điều kiện quy định tại Điều 55 của Luật này;</w:t>
      </w:r>
    </w:p>
    <w:p>
      <w:pPr>
        <w:pStyle w:val="NormalWeb"/>
        <w:shd w:val="clear" w:color="auto" w:fill="FFFFFF"/>
        <w:spacing w:lineRule="exact" w:line="360" w:before="120" w:after="120"/>
        <w:ind w:firstLine="680"/>
        <w:jc w:val="both"/>
        <w:rPr>
          <w:iCs/>
          <w:color w:themeColor="text1" w:val="000000"/>
          <w:sz w:val="28"/>
          <w:szCs w:val="28"/>
        </w:rPr>
      </w:pPr>
      <w:r>
        <w:rPr>
          <w:iCs/>
          <w:color w:themeColor="text1" w:val="000000"/>
          <w:sz w:val="28"/>
          <w:szCs w:val="28"/>
        </w:rPr>
        <w:t>c) Cơ sở chăn nuôi trang trại có hành vi vi phạm khác mà pháp luật quy định phải thu hồi Giấy chứng nhận đủ điều kiện chăn nuôi.</w:t>
      </w:r>
    </w:p>
    <w:p>
      <w:pPr>
        <w:pStyle w:val="NormalWeb"/>
        <w:ind w:firstLine="170" w:left="510"/>
        <w:rPr>
          <w:iCs/>
          <w:color w:themeColor="text1" w:val="000000"/>
          <w:sz w:val="28"/>
          <w:szCs w:val="28"/>
        </w:rPr>
      </w:pPr>
      <w:r>
        <w:rPr>
          <w:iCs/>
          <w:color w:themeColor="text1" w:val="000000"/>
          <w:sz w:val="28"/>
          <w:szCs w:val="28"/>
        </w:rPr>
        <w:t>đ) Theo đề nghị của tổ chức, cá nhân được cấp Giấy chứng nhận đủ điều kiện chăn nuôi;</w:t>
      </w:r>
    </w:p>
    <w:p>
      <w:pPr>
        <w:pStyle w:val="NormalWeb"/>
        <w:ind w:firstLine="170" w:left="550"/>
        <w:rPr>
          <w:iCs/>
          <w:color w:themeColor="text1" w:val="000000"/>
          <w:sz w:val="28"/>
          <w:szCs w:val="28"/>
        </w:rPr>
      </w:pPr>
      <w:r>
        <w:rPr>
          <w:iCs/>
          <w:color w:themeColor="text1" w:val="000000"/>
          <w:sz w:val="28"/>
          <w:szCs w:val="28"/>
        </w:rPr>
        <w:t>e) Cơ sở chăn nuôi thay đổi địa điểm sản xuất.</w:t>
      </w:r>
    </w:p>
    <w:p>
      <w:pPr>
        <w:pStyle w:val="NormalWeb"/>
        <w:shd w:val="clear" w:color="auto" w:fill="FFFFFF"/>
        <w:spacing w:lineRule="exact" w:line="360" w:before="120" w:after="120"/>
        <w:ind w:firstLine="720"/>
        <w:jc w:val="both"/>
        <w:rPr>
          <w:iCs/>
          <w:color w:themeColor="text1" w:val="000000"/>
          <w:sz w:val="28"/>
          <w:szCs w:val="28"/>
        </w:rPr>
      </w:pPr>
      <w:r>
        <w:rPr>
          <w:iCs/>
          <w:color w:themeColor="text1" w:val="000000"/>
          <w:sz w:val="28"/>
          <w:szCs w:val="28"/>
        </w:rPr>
        <w:t xml:space="preserve">3. Chính phủ quy định hồ sơ, trình tự, thủ tục cấp, thu hồi Giấy chứng nhận đủ điều kiện chăn nuôi; thay đổi thông tin  trong Giấy chứng nhận đủ điều kiện chăn nuôi.”. </w:t>
      </w:r>
    </w:p>
    <w:p>
      <w:pPr>
        <w:pStyle w:val="ListParagraph"/>
        <w:widowControl w:val="false"/>
        <w:numPr>
          <w:ilvl w:val="0"/>
          <w:numId w:val="2"/>
        </w:numPr>
        <w:tabs>
          <w:tab w:val="clear" w:pos="170"/>
          <w:tab w:val="left" w:pos="993" w:leader="none"/>
        </w:tabs>
        <w:suppressAutoHyphens w:val="false"/>
        <w:spacing w:lineRule="exact" w:line="360" w:before="120" w:after="120"/>
        <w:ind w:firstLine="720" w:left="0"/>
        <w:contextualSpacing w:val="false"/>
        <w:jc w:val="both"/>
        <w:outlineLvl w:val="1"/>
        <w:rPr>
          <w:color w:themeColor="text1" w:val="000000"/>
          <w:sz w:val="28"/>
          <w:szCs w:val="28"/>
        </w:rPr>
      </w:pPr>
      <w:r>
        <w:rPr>
          <w:iCs/>
          <w:color w:themeColor="text1" w:val="000000"/>
          <w:position w:val="4"/>
          <w:sz w:val="28"/>
          <w:szCs w:val="28"/>
        </w:rPr>
        <w:t>Bãi bỏ Điều 27; khoản 3 Điều 37; Điều 40; khoản 2 Điều 41.</w:t>
      </w:r>
      <w:r>
        <w:rPr>
          <w:color w:themeColor="text1" w:val="000000"/>
          <w:sz w:val="28"/>
          <w:szCs w:val="28"/>
        </w:rPr>
        <w:t xml:space="preserve"> </w:t>
      </w:r>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0"/>
        <w:rPr>
          <w:rFonts w:ascii="Aptos Display" w:hAnsi="Aptos Display" w:cs="Aptos Display" w:asciiTheme="majorHAnsi" w:cstheme="majorHAnsi" w:hAnsiTheme="majorHAnsi"/>
          <w:color w:themeColor="text1" w:val="000000"/>
          <w:sz w:val="28"/>
          <w:szCs w:val="28"/>
        </w:rPr>
      </w:pPr>
      <w:bookmarkStart w:id="8" w:name="_Hlk230960795"/>
      <w:bookmarkEnd w:id="3"/>
      <w:r>
        <w:rPr>
          <w:rFonts w:eastAsia="Times New Roman" w:cs="Aptos Display" w:ascii="Aptos Display" w:hAnsi="Aptos Display" w:asciiTheme="majorHAnsi" w:cstheme="majorHAnsi" w:hAnsiTheme="majorHAnsi"/>
          <w:b/>
          <w:bCs/>
          <w:color w:themeColor="text1" w:val="000000"/>
          <w:sz w:val="28"/>
          <w:szCs w:val="28"/>
        </w:rPr>
        <w:t xml:space="preserve"> </w:t>
      </w:r>
      <w:r>
        <w:rPr>
          <w:rFonts w:eastAsia="Times New Roman" w:cs="Aptos Display" w:ascii="Aptos Display" w:hAnsi="Aptos Display" w:asciiTheme="majorHAnsi" w:cstheme="majorHAnsi" w:hAnsiTheme="majorHAnsi"/>
          <w:b/>
          <w:bCs/>
          <w:color w:themeColor="text1" w:val="000000"/>
          <w:sz w:val="28"/>
          <w:szCs w:val="28"/>
        </w:rPr>
        <w:t xml:space="preserve">Sửa đổi, bổ sung </w:t>
      </w:r>
      <w:r>
        <w:rPr>
          <w:b/>
          <w:bCs/>
          <w:color w:themeColor="text1" w:val="000000"/>
          <w:sz w:val="28"/>
          <w:szCs w:val="28"/>
        </w:rPr>
        <w:t>khoản 4 Điều 26</w:t>
      </w:r>
      <w:r>
        <w:rPr>
          <w:color w:themeColor="text1" w:val="000000"/>
          <w:sz w:val="28"/>
          <w:szCs w:val="28"/>
        </w:rPr>
        <w:t xml:space="preserve"> </w:t>
      </w:r>
      <w:r>
        <w:rPr>
          <w:rFonts w:eastAsia="Times New Roman" w:cs="Aptos Display" w:ascii="Aptos Display" w:hAnsi="Aptos Display" w:asciiTheme="majorHAnsi" w:cstheme="majorHAnsi" w:hAnsiTheme="majorHAnsi"/>
          <w:b/>
          <w:bCs/>
          <w:color w:themeColor="text1" w:val="000000"/>
          <w:sz w:val="28"/>
          <w:szCs w:val="28"/>
        </w:rPr>
        <w:t xml:space="preserve">Luật Đê điều </w:t>
      </w:r>
      <w:bookmarkEnd w:id="8"/>
      <w:r>
        <w:rPr>
          <w:rFonts w:eastAsia="Times New Roman" w:cs="Aptos Display" w:ascii="Aptos Display" w:hAnsi="Aptos Display" w:asciiTheme="majorHAnsi" w:cstheme="majorHAnsi" w:hAnsiTheme="majorHAnsi"/>
          <w:b/>
          <w:bCs/>
          <w:color w:themeColor="text1" w:val="000000"/>
          <w:sz w:val="28"/>
          <w:szCs w:val="28"/>
        </w:rPr>
        <w:t xml:space="preserve">như sau: </w:t>
      </w:r>
    </w:p>
    <w:p>
      <w:pPr>
        <w:pStyle w:val="Normal"/>
        <w:widowControl w:val="false"/>
        <w:tabs>
          <w:tab w:val="clear" w:pos="170"/>
          <w:tab w:val="left" w:pos="993" w:leader="none"/>
        </w:tabs>
        <w:suppressAutoHyphens w:val="false"/>
        <w:spacing w:lineRule="exact" w:line="360" w:before="120" w:after="120"/>
        <w:jc w:val="both"/>
        <w:rPr>
          <w:color w:themeColor="text1" w:val="000000"/>
          <w:sz w:val="28"/>
          <w:szCs w:val="28"/>
        </w:rPr>
      </w:pPr>
      <w:r>
        <w:rPr>
          <w:color w:themeColor="text1" w:val="000000"/>
          <w:sz w:val="28"/>
          <w:szCs w:val="28"/>
        </w:rPr>
        <w:t xml:space="preserve">          “</w:t>
      </w:r>
      <w:r>
        <w:rPr>
          <w:color w:themeColor="text1" w:val="000000"/>
          <w:sz w:val="28"/>
          <w:szCs w:val="28"/>
        </w:rPr>
        <w:t>4. Ủy ban nhân dân cấp tỉnh có trách nhiệm chỉ đạo lập dự án đầu tư xây dựng; Chủ tịch Ủy ban nhân dân cấp tỉnh phê duyệt nội dung đảm bảo thoát lũ, an toàn đê điều của dự án đầu tư xây dựng quy định tại khoản 3 Điều này.”.</w:t>
      </w:r>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0"/>
        <w:rPr>
          <w:rFonts w:ascii="Aptos Display" w:hAnsi="Aptos Display" w:eastAsia="Times New Roman" w:cs="Aptos Display" w:asciiTheme="majorHAnsi" w:cstheme="majorHAnsi" w:hAnsiTheme="majorHAnsi"/>
          <w:b/>
          <w:bCs/>
          <w:color w:themeColor="text1" w:val="000000"/>
          <w:sz w:val="28"/>
          <w:szCs w:val="28"/>
        </w:rPr>
      </w:pPr>
      <w:bookmarkStart w:id="9" w:name="_Toc201588633"/>
      <w:r>
        <w:rPr>
          <w:rFonts w:eastAsia="Times New Roman" w:cs="Aptos Display" w:ascii="Aptos Display" w:hAnsi="Aptos Display" w:asciiTheme="majorHAnsi" w:cstheme="majorHAnsi" w:hAnsiTheme="majorHAnsi"/>
          <w:b/>
          <w:bCs/>
          <w:color w:themeColor="text1" w:val="000000"/>
          <w:sz w:val="28"/>
          <w:szCs w:val="28"/>
        </w:rPr>
        <w:t xml:space="preserve"> </w:t>
      </w:r>
      <w:bookmarkStart w:id="10" w:name="_Hlk230960817"/>
      <w:r>
        <w:rPr>
          <w:rFonts w:eastAsia="Times New Roman" w:cs="Aptos Display" w:ascii="Aptos Display" w:hAnsi="Aptos Display" w:asciiTheme="majorHAnsi" w:cstheme="majorHAnsi" w:hAnsiTheme="majorHAnsi"/>
          <w:b/>
          <w:bCs/>
          <w:color w:themeColor="text1" w:val="000000"/>
          <w:sz w:val="28"/>
          <w:szCs w:val="28"/>
        </w:rPr>
        <w:t xml:space="preserve">Sửa đổi, bổ sung một số điều của Luật </w:t>
      </w:r>
      <w:bookmarkEnd w:id="9"/>
      <w:r>
        <w:rPr>
          <w:rFonts w:eastAsia="Times New Roman" w:cs="Aptos Display" w:ascii="Aptos Display" w:hAnsi="Aptos Display" w:asciiTheme="majorHAnsi" w:cstheme="majorHAnsi" w:hAnsiTheme="majorHAnsi"/>
          <w:b/>
          <w:bCs/>
          <w:color w:themeColor="text1" w:val="000000"/>
          <w:sz w:val="28"/>
          <w:szCs w:val="28"/>
        </w:rPr>
        <w:t>Địa chất và khoáng sản</w:t>
      </w:r>
      <w:bookmarkEnd w:id="10"/>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khoản 3 Điều 26 như sau:</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w:t>
      </w:r>
      <w:r>
        <w:rPr>
          <w:rFonts w:cs="Aptos Display" w:ascii="Aptos Display" w:hAnsi="Aptos Display" w:asciiTheme="majorHAnsi" w:cstheme="majorHAnsi" w:hAnsiTheme="majorHAnsi"/>
          <w:bCs/>
          <w:color w:themeColor="text1" w:val="000000"/>
          <w:sz w:val="28"/>
          <w:szCs w:val="28"/>
        </w:rPr>
        <w:t>3. Chủ tịch Ủy ban nhân dân cấp tỉnh xem xét, chấp thuận việc thăm dò, khai thác khoáng sản ở khu vực cấm hoạt động khoáng sản, khu vực tạm thời cấm hoạt động khoáng sản trong trường hợp cần thiết trước khi lập hồ sơ đề nghị cấp giấy phép thăm dò khoáng sản, giấy phép khai thác khoáng sản, bao gồm cả khoáng sản thuộc thẩm quyền cấp giấy phép thăm dò khoáng sản, giấy phép khai thác khoáng sản của Bộ trưởng Bộ Nông nghiệp và Môi trường.</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iCs/>
          <w:color w:themeColor="text1" w:val="000000"/>
          <w:sz w:val="28"/>
          <w:szCs w:val="28"/>
        </w:rPr>
        <w:t>Trường hợp khu vực đề nghị chấp thuận thăm dò, khai thác khoáng sản tại khu vực cấm hoạt động khoáng sản, khu vực tạm thời cấm hoạt động khoáng sản thuộc khu vực biển nằm ngoài ranh giới quản lý hành chính trên biển của các tỉnh, thành phố; khu vực biển chưa xác định ranh giới quản lý hành chính trên biển của các tỉnh, thành phố thì thẩm quyền giải quyết thuộc Chủ tịch Ủy ban nhân dân cấp tỉnh nơi có địa giới hành chính gần nhất với vị trí khu vực đề nghị chấp thuận thăm dò, khai thác khoáng sản tại khu vực cấm hoạt động khoáng sản, khu vực tạm thời cấm hoạt động khoáng sản</w:t>
      </w:r>
      <w:r>
        <w:rPr>
          <w:rFonts w:cs="Aptos Display" w:ascii="Aptos Display" w:hAnsi="Aptos Display" w:asciiTheme="majorHAnsi" w:cstheme="majorHAnsi" w:hAnsiTheme="majorHAnsi"/>
          <w:bCs/>
          <w:color w:themeColor="text1" w:val="000000"/>
          <w:sz w:val="28"/>
          <w:szCs w:val="28"/>
        </w:rPr>
        <w:t>.”.</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một số khoản của Điều 33 như sau:</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a) Sửa đổi, bổ sung khoản 2 như sau:</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w:t>
      </w:r>
      <w:r>
        <w:rPr>
          <w:rFonts w:cs="Aptos Display" w:ascii="Aptos Display" w:hAnsi="Aptos Display" w:asciiTheme="majorHAnsi" w:cstheme="majorHAnsi" w:hAnsiTheme="majorHAnsi"/>
          <w:bCs/>
          <w:color w:themeColor="text1" w:val="000000"/>
          <w:sz w:val="28"/>
          <w:szCs w:val="28"/>
        </w:rPr>
        <w:t>2</w:t>
      </w:r>
      <w:r>
        <w:rPr>
          <w:rFonts w:cs="Aptos Display" w:ascii="Aptos Display" w:hAnsi="Aptos Display" w:asciiTheme="majorHAnsi" w:cstheme="majorHAnsi" w:hAnsiTheme="majorHAnsi"/>
          <w:color w:themeColor="text1" w:val="000000"/>
          <w:sz w:val="28"/>
          <w:szCs w:val="28"/>
        </w:rPr>
        <w:t xml:space="preserve">. Tổ chức, cá nhân thực hiện dự án đầu tư tại khu vực dự trữ </w:t>
      </w:r>
      <w:r>
        <w:rPr>
          <w:rFonts w:cs="Aptos Display" w:ascii="Aptos Display" w:hAnsi="Aptos Display" w:asciiTheme="majorHAnsi" w:cstheme="majorHAnsi" w:hAnsiTheme="majorHAnsi"/>
          <w:iCs/>
          <w:color w:themeColor="text1" w:val="000000"/>
          <w:sz w:val="28"/>
          <w:szCs w:val="28"/>
        </w:rPr>
        <w:t>khoáng sản</w:t>
      </w:r>
      <w:r>
        <w:rPr>
          <w:rFonts w:cs="Aptos Display" w:ascii="Aptos Display" w:hAnsi="Aptos Display" w:asciiTheme="majorHAnsi" w:cstheme="majorHAnsi" w:hAnsiTheme="majorHAnsi"/>
          <w:color w:themeColor="text1" w:val="000000"/>
          <w:sz w:val="28"/>
          <w:szCs w:val="28"/>
        </w:rPr>
        <w:t xml:space="preserve"> quốc gia phải đánh giá mức độ ảnh hưởng đến khoáng sản thuộc đối tượng dự trữ trong phạm vi dự án đầu tư theo quy định tại khoản 3 Điều này. Thời điểm đánh giá được thực hiện trước khi thực hiện dự án đầu tư.”.</w:t>
      </w:r>
    </w:p>
    <w:p>
      <w:pPr>
        <w:pStyle w:val="BodyText"/>
        <w:widowControl w:val="false"/>
        <w:spacing w:before="120" w:after="120"/>
        <w:ind w:firstLine="709"/>
        <w:rPr>
          <w:rFonts w:ascii="Aptos Display" w:hAnsi="Aptos Display" w:cs="Aptos Display" w:asciiTheme="majorHAnsi" w:cstheme="majorHAnsi" w:hAnsiTheme="majorHAnsi"/>
          <w:color w:themeColor="text1" w:val="000000"/>
          <w:spacing w:val="-4"/>
          <w:lang w:eastAsia="x-none"/>
        </w:rPr>
      </w:pPr>
      <w:r>
        <w:rPr>
          <w:rFonts w:cs="Aptos Display" w:ascii="Aptos Display" w:hAnsi="Aptos Display" w:asciiTheme="majorHAnsi" w:cstheme="majorHAnsi" w:hAnsiTheme="majorHAnsi"/>
          <w:color w:themeColor="text1" w:val="000000"/>
          <w:spacing w:val="-4"/>
          <w:lang w:eastAsia="x-none"/>
        </w:rPr>
        <w:t>b) Sửa đổi, bổ sung các khoản 4, 5, 6 và 7 như sau:</w:t>
      </w:r>
    </w:p>
    <w:p>
      <w:pPr>
        <w:pStyle w:val="BodyText"/>
        <w:widowControl w:val="false"/>
        <w:spacing w:before="120" w:after="120"/>
        <w:ind w:firstLine="709"/>
        <w:rPr>
          <w:rFonts w:ascii="Aptos Display" w:hAnsi="Aptos Display" w:cs="Aptos Display" w:asciiTheme="majorHAnsi" w:cstheme="majorHAnsi" w:hAnsiTheme="majorHAnsi"/>
          <w:color w:themeColor="text1" w:val="000000"/>
          <w:spacing w:val="-4"/>
          <w:lang w:eastAsia="x-none"/>
        </w:rPr>
      </w:pPr>
      <w:r>
        <w:rPr>
          <w:rFonts w:cs="Aptos Display" w:ascii="Aptos Display" w:hAnsi="Aptos Display" w:asciiTheme="majorHAnsi" w:cstheme="majorHAnsi" w:hAnsiTheme="majorHAnsi"/>
          <w:color w:themeColor="text1" w:val="000000"/>
          <w:spacing w:val="-4"/>
          <w:lang w:eastAsia="x-none"/>
        </w:rPr>
        <w:t>“</w:t>
      </w:r>
      <w:r>
        <w:rPr>
          <w:rFonts w:cs="Aptos Display" w:ascii="Aptos Display" w:hAnsi="Aptos Display" w:asciiTheme="majorHAnsi" w:cstheme="majorHAnsi" w:hAnsiTheme="majorHAnsi"/>
          <w:color w:themeColor="text1" w:val="000000"/>
          <w:spacing w:val="-4"/>
          <w:lang w:eastAsia="x-none"/>
        </w:rPr>
        <w:t>4. Chủ tịch Ủy ban nhân dân cấp tỉnh nơi có dự án đầu tư xem xét, chấp thuận</w:t>
      </w:r>
      <w:r>
        <w:rPr>
          <w:rFonts w:cs="Aptos Display" w:ascii="Aptos Display" w:hAnsi="Aptos Display" w:asciiTheme="majorHAnsi" w:cstheme="majorHAnsi" w:hAnsiTheme="majorHAnsi"/>
          <w:color w:themeColor="text1" w:val="000000"/>
        </w:rPr>
        <w:t xml:space="preserve"> nội dung đánh giá mức độ ảnh hưởng đến khoáng sản thuộc đối tượng dự trữ quy định tại khoản 3 Điều này</w:t>
      </w:r>
      <w:r>
        <w:rPr>
          <w:rFonts w:cs="Aptos Display" w:ascii="Aptos Display" w:hAnsi="Aptos Display" w:asciiTheme="majorHAnsi" w:cstheme="majorHAnsi" w:hAnsiTheme="majorHAnsi"/>
          <w:color w:themeColor="text1" w:val="000000"/>
          <w:spacing w:val="-4"/>
          <w:lang w:eastAsia="x-none"/>
        </w:rPr>
        <w:t>.</w:t>
      </w:r>
    </w:p>
    <w:p>
      <w:pPr>
        <w:pStyle w:val="BodyText"/>
        <w:widowControl w:val="false"/>
        <w:spacing w:before="120" w:after="120"/>
        <w:ind w:firstLine="709"/>
        <w:rPr>
          <w:rFonts w:ascii="Aptos Display" w:hAnsi="Aptos Display" w:cs="Aptos Display" w:asciiTheme="majorHAnsi" w:cstheme="majorHAnsi" w:hAnsiTheme="majorHAnsi"/>
          <w:color w:themeColor="text1" w:val="000000"/>
          <w:spacing w:val="-4"/>
          <w:lang w:eastAsia="x-none"/>
        </w:rPr>
      </w:pPr>
      <w:r>
        <w:rPr>
          <w:rFonts w:cs="Aptos Display" w:ascii="Aptos Display" w:hAnsi="Aptos Display" w:asciiTheme="majorHAnsi" w:cstheme="majorHAnsi" w:hAnsiTheme="majorHAnsi"/>
          <w:color w:themeColor="text1" w:val="000000"/>
          <w:spacing w:val="-4"/>
          <w:lang w:eastAsia="x-none"/>
        </w:rPr>
        <w:t>5. Tổ chức, cá nhân thực hiện dự án đầu tư tại khu vực dự trữ khoáng sản quốc gia phải theo dõi, giám sát và kịp thời báo cáo Ủy ban nhân dân cấp tỉnh nơi có khu vực dự trữ khoáng sản quốc gia đối với trường hợp khi thi công xây dựng hoặc trong quá trình vận hành dự án mà có tác động trực tiếp đến loại khoáng sản thuộc đối tượng dự trữ để xử lý theo quy định tại các khoản 6, 7, 8 và 9 Điều này.</w:t>
      </w:r>
    </w:p>
    <w:p>
      <w:pPr>
        <w:pStyle w:val="BodyText"/>
        <w:widowControl w:val="false"/>
        <w:spacing w:before="120" w:after="120"/>
        <w:ind w:firstLine="709"/>
        <w:rPr>
          <w:rFonts w:ascii="Aptos Display" w:hAnsi="Aptos Display" w:cs="Aptos Display" w:asciiTheme="majorHAnsi" w:cstheme="majorHAnsi" w:hAnsiTheme="majorHAnsi"/>
          <w:color w:themeColor="text1" w:val="000000"/>
          <w:spacing w:val="-4"/>
          <w:lang w:eastAsia="x-none"/>
        </w:rPr>
      </w:pPr>
      <w:r>
        <w:rPr>
          <w:rFonts w:cs="Aptos Display" w:ascii="Aptos Display" w:hAnsi="Aptos Display" w:asciiTheme="majorHAnsi" w:cstheme="majorHAnsi" w:hAnsiTheme="majorHAnsi"/>
          <w:color w:themeColor="text1" w:val="000000"/>
          <w:spacing w:val="-4"/>
          <w:lang w:eastAsia="x-none"/>
        </w:rPr>
        <w:t>6. Trường hợp khi triển khai thi công các hạng mục công trình của dự án đầu tư tại khu vực dự trữ khoáng sản quốc gia mà bắt buộc phải san gạt, đào đắp bề mặt địa hình, tác động trực tiếp đến khoáng sản dự trữ thì tổ chức, cá nhân thực hiện dự án đầu tư phải báo cáo Chủ tịch Ủy ban nhân dân cấp tỉnh nơi có dự án để tổ chức kiểm tra, quyết định việc cho phép thu hồi hoặc không thu hồi khoáng sản.</w:t>
      </w:r>
    </w:p>
    <w:p>
      <w:pPr>
        <w:pStyle w:val="BodyText"/>
        <w:widowControl w:val="false"/>
        <w:spacing w:before="120" w:after="120"/>
        <w:ind w:firstLine="709"/>
        <w:rPr>
          <w:rFonts w:ascii="Aptos Display" w:hAnsi="Aptos Display" w:cs="Aptos Display" w:asciiTheme="majorHAnsi" w:cstheme="majorHAnsi" w:hAnsiTheme="majorHAnsi"/>
          <w:color w:themeColor="text1" w:val="000000"/>
          <w:spacing w:val="-4"/>
          <w:lang w:eastAsia="x-none"/>
        </w:rPr>
      </w:pPr>
      <w:r>
        <w:rPr>
          <w:rFonts w:cs="Aptos Display" w:ascii="Aptos Display" w:hAnsi="Aptos Display" w:asciiTheme="majorHAnsi" w:cstheme="majorHAnsi" w:hAnsiTheme="majorHAnsi"/>
          <w:color w:themeColor="text1" w:val="000000"/>
          <w:spacing w:val="-4"/>
          <w:lang w:eastAsia="x-none"/>
        </w:rPr>
        <w:t>7.  Chủ tịch Ủy ban nhân dân cấp tỉnh nơi có dự án đầu tư quy định tại khoản 2 Điều này xem xét cấp giấy xác nhận đăng ký thu hồi khoáng sản. Đối với khoáng sản thuộc thẩm quyền cấp giấy phép khai thác khoáng sản của Bộ trưởng Bộ Nông nghiệp và Môi trường phải gửi giấy xác nhận đăng ký thu hồi khoáng sản về Bộ Nông nghiệp và Môi trường để theo dõi.”.</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điểm c khoản 4 Điều 44 như sau:</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w:t>
      </w:r>
      <w:r>
        <w:rPr>
          <w:rFonts w:cs="Aptos Display" w:ascii="Aptos Display" w:hAnsi="Aptos Display" w:asciiTheme="majorHAnsi" w:cstheme="majorHAnsi" w:hAnsiTheme="majorHAnsi"/>
          <w:color w:themeColor="text1" w:val="000000"/>
          <w:sz w:val="28"/>
          <w:szCs w:val="28"/>
        </w:rPr>
        <w:t xml:space="preserve">c) Trường hợp tổ chức, cá nhân đã thực hiện đầy đủ khối lượng công tác thăm dò theo đề án thăm dò khoáng sản mà giấy phép thăm dò khoáng sản đã hết thời hạn nhưng phải bổ sung khối lượng công tác thăm dò theo yêu cầu của cơ quan nhà nước có thẩm quyền thì tổ chức, cá nhân phải báo cáo Chủ tịch Ủy ban nhân dân cấp tỉnh chấp thuận trước khi thực hiện,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 xml:space="preserve">Đối với giấy phép thăm dò khoáng sản nằm trên địa bàn từ 02 đơn vị hành chính cấp tỉnh trở lên,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 thì thẩm quyền giải quyết thuộc Chủ tịch Ủy ban nhân dân cấp tỉnh nơi có diện tích khu vực thăm dò khoáng sản theo giấy phép thăm dò khoáng sản chiếm tỷ lệ diện tích lớn nhất. Chủ tịch Ủy ban nhân dân cấp tỉnh nơi giải quyết thủ tục hành chính có trách nhiệm lấy ý kiến của Chủ tịch Ủy ban nhân dân cấp tỉnh có diện tích địa giới hành chính thuộc diện tích khu vực thăm dò khoáng sản theo giấy phép thăm dò khoáng sản.</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 xml:space="preserve">Đối với giấy phép thăm dò khoáng sản thuộc khu vực biển nằm ngoài ranh giới quản lý hành chính trên biển của các tỉnh, thành phố; khu vực biển chưa xác định ranh giới quản lý hành chính trên biển của các tỉnh, thành phố,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 thì thẩm quyền giải quyết thuộc Chủ tịch Ủy ban nhân dân cấp tỉnh nơi có địa giới hành chính gần nhất với vị trí khu vực thăm dò khoáng sản theo giấy phép thăm dò khoáng sản;”.</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điểm b khoản 2 Điều 47 như sau:</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w:t>
      </w:r>
      <w:r>
        <w:rPr>
          <w:rFonts w:cs="Aptos Display" w:ascii="Aptos Display" w:hAnsi="Aptos Display" w:asciiTheme="majorHAnsi" w:cstheme="majorHAnsi" w:hAnsiTheme="majorHAnsi"/>
          <w:color w:themeColor="text1" w:val="000000"/>
          <w:sz w:val="28"/>
          <w:szCs w:val="28"/>
        </w:rPr>
        <w:t xml:space="preserve">b) Thực hiện các nội dung trong giấy phép thăm dò khoáng sản. Trường hợp thăm dò vượt quá mức sâu thăm dò theo quy định của Chính phủ, bổ sung mẫu công nghệ, moong khai thác thử hoặc điều chỉnh phương pháp hoặc giảm khối lượng công tác thăm dò, tổ chức, cá nhân phải báo cáo và được Chủ tịch Ủy ban nhân dân cấp tỉnh chấp thuận bằng văn bản trước khi thực hiện,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 xml:space="preserve">Đối với giấy phép thăm dò khoáng sản nằm trên địa bàn từ 02 đơn vị hành chính cấp tỉnh trở lên,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 thì thẩm quyền giải quyết thuộc Chủ tịch Ủy ban nhân dân cấp tỉnh nơi có diện tích khu vực thăm dò khoáng sản theo giấy phép thăm dò khoáng sản chiếm tỷ lệ diện tích lớn nhất. Chủ tịch Ủy ban nhân dân cấp tỉnh nơi giải quyết thủ tục hành chính có trách nhiệm lấy ý kiến của Chủ tịch Ủy ban nhân dân cấp tỉnh có diện tích địa giới hành chính thuộc diện tích khu vực thăm dò khoáng sản theo giấy phép thăm dò khoáng sản.</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 xml:space="preserve">Đối với giấy phép thăm dò khoáng sản thuộc khu vực biển nằm ngoài ranh giới quản lý hành chính trên biển của các tỉnh, thành phố; khu vực biển chưa xác định ranh giới quản lý hành chính trên biển của các tỉnh, thành phố,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 thì thẩm quyền giải quyết thuộc Chủ tịch Ủy ban nhân dân cấp tỉnh nơi có địa giới hành chính gần nhất với vị trí khu vực thăm dò khoáng sản theo giấy phép thăm dò khoáng sản;”.</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khoản 1 và khoản 2 Điều 51 như sau:</w:t>
      </w:r>
    </w:p>
    <w:p>
      <w:pPr>
        <w:pStyle w:val="Normal"/>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w:t>
      </w:r>
      <w:r>
        <w:rPr>
          <w:rFonts w:cs="Aptos Display" w:ascii="Aptos Display" w:hAnsi="Aptos Display" w:asciiTheme="majorHAnsi" w:cstheme="majorHAnsi" w:hAnsiTheme="majorHAnsi"/>
          <w:color w:themeColor="text1" w:val="000000"/>
          <w:sz w:val="28"/>
          <w:szCs w:val="28"/>
        </w:rPr>
        <w:t>1. Hội đồng đánh giá trữ lượng khoáng sản quốc gia công nhận kết quả thăm dò khoáng sản, thăm dò bổ sung thuộc thẩm quyền cấp giấy phép của Bộ trưởng Bộ Nông nghiệp và Môi trường</w:t>
        <w:tab/>
        <w:t>quy định tại khoản 1 Điều 108 của Luật này.</w:t>
      </w:r>
    </w:p>
    <w:p>
      <w:pPr>
        <w:pStyle w:val="Normal"/>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2. Chủ tịch Ủy ban nhân dân  cấp tỉnh công nhận kết quả thăm dò khoáng sản, thăm dò bổ sung thuộc thẩm quyền cấp giấy phép quy định tại điểm a và điểm b khoản 2 Điều 108 của Luật này.”</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khoản 1a Điều 55 như sau:</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w:t>
      </w:r>
      <w:r>
        <w:rPr>
          <w:rFonts w:cs="Aptos Display" w:ascii="Aptos Display" w:hAnsi="Aptos Display" w:asciiTheme="majorHAnsi" w:cstheme="majorHAnsi" w:hAnsiTheme="majorHAnsi"/>
          <w:bCs/>
          <w:color w:themeColor="text1" w:val="000000"/>
          <w:sz w:val="28"/>
          <w:szCs w:val="28"/>
        </w:rPr>
        <w:t xml:space="preserve">1a. Việc cấp giấy phép khai thác khoáng sản nhóm III làm vật liệu xây dựng cho các tổ chức, cá nhân quy định tại các khoản 1, 1a và 2 Điều 53 của Luật này để cung cấp vật liệu cho công trình, dự án sau đây không phải căn cứ phương án quản lý về địa chất, khoáng sản quy định tại khoản 2 Điều 12 của Luật này: </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 xml:space="preserve">a) Dự án đầu tư công theo quy định của pháp luật về đầu tư công; </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b) Dự án đầu tư thực hiện theo phương thức đối tác công tư theo quy định của pháp luật về đầu tư theo phương thức đối tác công tư;</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 xml:space="preserve">c) Công trình, dự án trọng điểm, quan trọng quốc gia; </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d) Công trình, dự án phát triển kinh tế - xã hội thuộc thẩm quyền chấp thuận hoặc quyết định chủ trương đầu tư của chính quyền địa phương hoặc người có thẩm quyền theo quy định của pháp luật về đầu tư, đầu tư công, đầu tư theo phương thức đối tác công tư và được Chủ tịch Ủy ban nhân dân cấp tỉnh xem xét, quyết định cho phép không phải căn cứ phương án quản lý về địa chất, khoáng sản;</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bCs/>
          <w:color w:themeColor="text1" w:val="000000"/>
          <w:sz w:val="28"/>
          <w:szCs w:val="28"/>
        </w:rPr>
      </w:pPr>
      <w:r>
        <w:rPr>
          <w:rFonts w:cs="Aptos Display" w:ascii="Aptos Display" w:hAnsi="Aptos Display" w:asciiTheme="majorHAnsi" w:cstheme="majorHAnsi" w:hAnsiTheme="majorHAnsi"/>
          <w:bCs/>
          <w:color w:themeColor="text1" w:val="000000"/>
          <w:sz w:val="28"/>
          <w:szCs w:val="28"/>
        </w:rPr>
        <w:t>đ) Dự án, công trình xây dựng khẩn cấp, cấp bách theo quy định của pháp luật về xây dựng; dự án, công trình phòng, chống thiên tai theo quy định của pháp luật về phòng, chống thiên tai.”.</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điểm e khoản 2 Điều 59 như sau:</w:t>
      </w:r>
    </w:p>
    <w:p>
      <w:pPr>
        <w:pStyle w:val="Normal"/>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w:t>
      </w:r>
      <w:r>
        <w:rPr>
          <w:rFonts w:cs="Aptos Display" w:ascii="Aptos Display" w:hAnsi="Aptos Display" w:asciiTheme="majorHAnsi" w:cstheme="majorHAnsi" w:hAnsiTheme="majorHAnsi"/>
          <w:color w:themeColor="text1" w:val="000000"/>
          <w:sz w:val="28"/>
          <w:szCs w:val="28"/>
        </w:rPr>
        <w:t xml:space="preserve">e) Trường hợp thăm dò bổ sung để nâng cấp tài nguyên, trữ lượng khoáng sản chính hoặc xác định trữ lượng khoáng sản đi kèm (nếu có), tổ chức, cá nhân phải lập đề án thăm dò bổ sung, gửi Chủ tịch Ủy ban nhân dân cấp tỉnh để xem xét, chấp thuận bằng văn bản trước khi thực hiện và báo cáo cơ quan quản lý nhà nước có thẩm quyền để được công nhận kết quả thăm dò bổ sung,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w:t>
      </w:r>
    </w:p>
    <w:p>
      <w:pPr>
        <w:pStyle w:val="Normal"/>
        <w:spacing w:lineRule="exact" w:line="360" w:before="120" w:after="120"/>
        <w:ind w:firstLine="709"/>
        <w:jc w:val="both"/>
        <w:rPr>
          <w:rFonts w:ascii="Aptos Display" w:hAnsi="Aptos Display" w:cs="Aptos Display" w:asciiTheme="majorHAnsi" w:cstheme="majorHAnsi" w:hAnsiTheme="majorHAnsi"/>
          <w:iCs/>
          <w:color w:themeColor="text1" w:val="000000"/>
          <w:sz w:val="28"/>
          <w:szCs w:val="28"/>
        </w:rPr>
      </w:pPr>
      <w:r>
        <w:rPr>
          <w:rFonts w:cs="Aptos Display" w:ascii="Aptos Display" w:hAnsi="Aptos Display" w:asciiTheme="majorHAnsi" w:cstheme="majorHAnsi" w:hAnsiTheme="majorHAnsi"/>
          <w:iCs/>
          <w:color w:themeColor="text1" w:val="000000"/>
          <w:sz w:val="28"/>
          <w:szCs w:val="28"/>
        </w:rPr>
        <w:t>Đối với giấy phép khai thác khoáng sản nằm trên địa bàn từ 02 đơn vị hành chính cấp tỉnh trở lên</w:t>
      </w:r>
      <w:r>
        <w:rPr>
          <w:rFonts w:cs="Aptos Display" w:ascii="Aptos Display" w:hAnsi="Aptos Display" w:asciiTheme="majorHAnsi" w:cstheme="majorHAnsi" w:hAnsiTheme="majorHAnsi"/>
          <w:color w:themeColor="text1" w:val="000000"/>
          <w:sz w:val="28"/>
          <w:szCs w:val="28"/>
        </w:rPr>
        <w:t xml:space="preserve">,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w:t>
      </w:r>
      <w:r>
        <w:rPr>
          <w:rFonts w:cs="Aptos Display" w:ascii="Aptos Display" w:hAnsi="Aptos Display" w:asciiTheme="majorHAnsi" w:cstheme="majorHAnsi" w:hAnsiTheme="majorHAnsi"/>
          <w:iCs/>
          <w:color w:themeColor="text1" w:val="000000"/>
          <w:sz w:val="28"/>
          <w:szCs w:val="28"/>
        </w:rPr>
        <w:t xml:space="preserve"> thì thẩm quyền giải quyết thuộc Chủ tịch Ủy ban nhân dân cấp tỉnh nơi có diện tích khu vực khai thác khoáng sản theo giấy phép khai thác khoáng sản chiếm tỷ lệ diện tích lớn nhất. Chủ tịch Ủy ban nhân dân cấp tỉnh nơi giải quyết thủ tục hành chính có trách nhiệm lấy ý kiến của Chủ tịch Ủy ban nhân dân cấp tỉnh có diện tích địa giới hành chính thuộc diện tích khu vực đề nghị chấp thuận thăm dò bổ sung để nâng cấp tài nguyên, trữ lượng khoáng sản.</w:t>
      </w:r>
    </w:p>
    <w:p>
      <w:pPr>
        <w:pStyle w:val="Normal"/>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iCs/>
          <w:color w:themeColor="text1" w:val="000000"/>
          <w:sz w:val="28"/>
          <w:szCs w:val="28"/>
        </w:rPr>
        <w:t>Đối với giấy phép khai thác khoáng sản thuộc khu vực biển nằm ngoài ranh giới quản lý hành chính trên biển của các tỉnh, thành phố; khu vực biển chưa xác định ranh giới quản lý hành chính trên biển của các tỉnh, thành phố,</w:t>
      </w:r>
      <w:r>
        <w:rPr>
          <w:rFonts w:cs="Aptos Display" w:ascii="Aptos Display" w:hAnsi="Aptos Display" w:asciiTheme="majorHAnsi" w:cstheme="majorHAnsi" w:hAnsiTheme="majorHAnsi"/>
          <w:color w:themeColor="text1" w:val="000000"/>
          <w:sz w:val="28"/>
          <w:szCs w:val="28"/>
        </w:rPr>
        <w:t xml:space="preserve"> bao gồm cả </w:t>
      </w:r>
      <w:r>
        <w:rPr>
          <w:rFonts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w:t>
      </w:r>
      <w:r>
        <w:rPr>
          <w:rFonts w:cs="Aptos Display" w:ascii="Aptos Display" w:hAnsi="Aptos Display" w:asciiTheme="majorHAnsi" w:cstheme="majorHAnsi" w:hAnsiTheme="majorHAnsi"/>
          <w:iCs/>
          <w:color w:themeColor="text1" w:val="000000"/>
          <w:sz w:val="28"/>
          <w:szCs w:val="28"/>
        </w:rPr>
        <w:t xml:space="preserve"> thì thẩm quyền giải quyết thủ tục hành chính thuộc Chủ tịch Ủy ban nhân dân cấp tỉnh nơi có địa giới hành chính gần nhất với vị trí khu vực khai thác khoáng sản theo giấy phép khai thác khoáng sản</w:t>
      </w:r>
      <w:r>
        <w:rPr>
          <w:rFonts w:cs="Aptos Display" w:ascii="Aptos Display" w:hAnsi="Aptos Display" w:asciiTheme="majorHAnsi" w:cstheme="majorHAnsi" w:hAnsiTheme="majorHAnsi"/>
          <w:color w:themeColor="text1" w:val="000000"/>
          <w:sz w:val="28"/>
          <w:szCs w:val="28"/>
        </w:rPr>
        <w:t>;”.</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khoản 2a Điều 73 như sau:</w:t>
      </w:r>
    </w:p>
    <w:p>
      <w:pPr>
        <w:pStyle w:val="Normal"/>
        <w:spacing w:lineRule="exact" w:line="360" w:before="120" w:after="120"/>
        <w:ind w:firstLine="720"/>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w:t>
      </w:r>
      <w:r>
        <w:rPr>
          <w:rFonts w:cs="Aptos Display" w:ascii="Aptos Display" w:hAnsi="Aptos Display" w:asciiTheme="majorHAnsi" w:cstheme="majorHAnsi" w:hAnsiTheme="majorHAnsi"/>
          <w:color w:themeColor="text1" w:val="000000"/>
          <w:sz w:val="28"/>
          <w:szCs w:val="28"/>
        </w:rPr>
        <w:t>2a. Tổ chức, cá nhân khảo sát, đánh giá thông tin chung về khoáng sản nhóm IV ở khu vực không đấu giá quyền khai thác khoáng sản thực hiện quyền ưu tiên nộp hồ sơ đề nghị cấp giấy phép khai thác khoáng sản nhóm IV như sau:</w:t>
      </w:r>
    </w:p>
    <w:p>
      <w:pPr>
        <w:pStyle w:val="Normal"/>
        <w:spacing w:lineRule="exact" w:line="360" w:before="120" w:after="120"/>
        <w:ind w:firstLine="720"/>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a) 18 tháng kể từ ngày được xác nhận kết quả khảo sát, đánh giá thông tin chung về khoáng sản dự kiến khai thác, trừ trường hợp quy định tại điểm b và điểm c khoản này;</w:t>
      </w:r>
    </w:p>
    <w:p>
      <w:pPr>
        <w:pStyle w:val="Normal"/>
        <w:spacing w:lineRule="exact" w:line="360" w:before="120" w:after="120"/>
        <w:ind w:firstLine="720"/>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b) 45 ngày kể từ ngày hết thời hạn khảo sát, đánh giá thông tin chung về khoáng sản dự kiến khai thác đối với trường hợp khai thác khoáng sản nhóm IV để cung cấp cho các công trình, dự án quy định tại các điểm a, b, c, d và đ khoản 1a Điều 55 của Luật này;</w:t>
      </w:r>
    </w:p>
    <w:p>
      <w:pPr>
        <w:pStyle w:val="Normal"/>
        <w:spacing w:lineRule="exact" w:line="360" w:before="120" w:after="120"/>
        <w:ind w:firstLine="720"/>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c) Hết thời hạn quy định tại điểm a và điểm b khoản này, tổ chức, cá nhân không gửi đủ hồ sơ đề nghị cấp giấy phép khai thác khoáng sản nhóm IV thì mất quyền ưu tiên đề nghị cấp giấy phép khai thác khoáng sản nhóm IV, trừ trường hợp bất khả kháng hoặc khi có sự thay đổi về chính sách của Nhà nước dẫn đến không thể thực hiện.”</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một số khoản của Điều 83 như sau:</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color w:themeColor="text1" w:val="000000"/>
          <w:spacing w:val="2"/>
          <w:sz w:val="28"/>
          <w:szCs w:val="28"/>
        </w:rPr>
      </w:pPr>
      <w:r>
        <w:rPr>
          <w:rFonts w:cs="Aptos Display" w:ascii="Aptos Display" w:hAnsi="Aptos Display" w:asciiTheme="majorHAnsi" w:cstheme="majorHAnsi" w:hAnsiTheme="majorHAnsi"/>
          <w:color w:themeColor="text1" w:val="000000"/>
          <w:spacing w:val="2"/>
          <w:sz w:val="28"/>
          <w:szCs w:val="28"/>
        </w:rPr>
        <w:t>a) Sửa đổi, bổ sung khoản 1 và khoản 2 như sau:</w:t>
      </w:r>
    </w:p>
    <w:p>
      <w:pPr>
        <w:pStyle w:val="Normal"/>
        <w:widowControl w:val="false"/>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pacing w:val="2"/>
          <w:sz w:val="28"/>
          <w:szCs w:val="28"/>
        </w:rPr>
        <w:t>“</w:t>
      </w:r>
      <w:r>
        <w:rPr>
          <w:rFonts w:cs="Aptos Display" w:ascii="Aptos Display" w:hAnsi="Aptos Display" w:asciiTheme="majorHAnsi" w:cstheme="majorHAnsi" w:hAnsiTheme="majorHAnsi"/>
          <w:color w:themeColor="text1" w:val="000000"/>
          <w:sz w:val="28"/>
          <w:szCs w:val="28"/>
        </w:rPr>
        <w:t>1. Tổ chức, cá nhân khai thác khoáng sản thuộc đối tượng quy định tại khoản 1 Điều 82 của Luật này phải gửi hồ sơ đề nghị thẩm định, phê duyệt đề án đóng cửa mỏ khoáng sản về cơ quan tiếp nhận hồ sơ giải quyết thủ tục hành chính của Ủy ban nhân dân cấp tỉnh để được thẩm định, phê duyệt trước khi thực hiện hoạt động đóng cửa mỏ khoáng sản.</w:t>
      </w:r>
    </w:p>
    <w:p>
      <w:pPr>
        <w:pStyle w:val="Normal"/>
        <w:widowControl w:val="false"/>
        <w:spacing w:lineRule="exact" w:line="360" w:before="120" w:after="120"/>
        <w:ind w:firstLine="709"/>
        <w:jc w:val="both"/>
        <w:rPr>
          <w:rFonts w:ascii="Aptos Display" w:hAnsi="Aptos Display" w:eastAsia="Times New Roman" w:cs="Aptos Display" w:asciiTheme="majorHAnsi" w:cstheme="majorHAnsi" w:hAnsiTheme="majorHAnsi"/>
          <w:color w:themeColor="text1" w:val="000000"/>
          <w:sz w:val="28"/>
          <w:szCs w:val="28"/>
          <w:lang w:eastAsia="vi-VN"/>
        </w:rPr>
      </w:pPr>
      <w:r>
        <w:rPr>
          <w:rFonts w:cs="Aptos Display" w:ascii="Aptos Display" w:hAnsi="Aptos Display" w:asciiTheme="majorHAnsi" w:cstheme="majorHAnsi" w:hAnsiTheme="majorHAnsi"/>
          <w:color w:themeColor="text1" w:val="000000"/>
          <w:spacing w:val="2"/>
          <w:sz w:val="28"/>
          <w:szCs w:val="28"/>
        </w:rPr>
        <w:t xml:space="preserve">2. </w:t>
      </w:r>
      <w:bookmarkStart w:id="11" w:name="_Hlk153055200"/>
      <w:r>
        <w:rPr>
          <w:rFonts w:cs="Aptos Display" w:ascii="Aptos Display" w:hAnsi="Aptos Display" w:asciiTheme="majorHAnsi" w:cstheme="majorHAnsi" w:hAnsiTheme="majorHAnsi"/>
          <w:color w:themeColor="text1" w:val="000000"/>
          <w:spacing w:val="2"/>
          <w:sz w:val="28"/>
          <w:szCs w:val="28"/>
        </w:rPr>
        <w:t xml:space="preserve">Chủ tịch Ủy ban nhân dân cấp tỉnh </w:t>
      </w:r>
      <w:bookmarkEnd w:id="11"/>
      <w:r>
        <w:rPr>
          <w:rFonts w:eastAsia="Times New Roman" w:cs="Aptos Display" w:ascii="Aptos Display" w:hAnsi="Aptos Display" w:asciiTheme="majorHAnsi" w:cstheme="majorHAnsi" w:hAnsiTheme="majorHAnsi"/>
          <w:color w:themeColor="text1" w:val="000000"/>
          <w:sz w:val="28"/>
          <w:szCs w:val="28"/>
          <w:lang w:eastAsia="vi-VN"/>
        </w:rPr>
        <w:t>phê duyệt đề án đóng cửa mỏ</w:t>
      </w:r>
      <w:r>
        <w:rPr>
          <w:rFonts w:cs="Aptos Display" w:ascii="Aptos Display" w:hAnsi="Aptos Display" w:asciiTheme="majorHAnsi" w:cstheme="majorHAnsi" w:hAnsiTheme="majorHAnsi"/>
          <w:color w:themeColor="text1" w:val="000000"/>
          <w:sz w:val="28"/>
          <w:szCs w:val="28"/>
        </w:rPr>
        <w:t xml:space="preserve"> khoáng sản</w:t>
      </w:r>
      <w:r>
        <w:rPr>
          <w:rFonts w:eastAsia="Times New Roman" w:cs="Aptos Display" w:ascii="Aptos Display" w:hAnsi="Aptos Display" w:asciiTheme="majorHAnsi" w:cstheme="majorHAnsi" w:hAnsiTheme="majorHAnsi"/>
          <w:color w:themeColor="text1" w:val="000000"/>
          <w:sz w:val="28"/>
          <w:szCs w:val="28"/>
          <w:lang w:eastAsia="vi-VN"/>
        </w:rPr>
        <w:t>, điều chỉnh đề án đóng cửa mỏ</w:t>
      </w:r>
      <w:r>
        <w:rPr>
          <w:rFonts w:cs="Aptos Display" w:ascii="Aptos Display" w:hAnsi="Aptos Display" w:asciiTheme="majorHAnsi" w:cstheme="majorHAnsi" w:hAnsiTheme="majorHAnsi"/>
          <w:color w:themeColor="text1" w:val="000000"/>
          <w:sz w:val="28"/>
          <w:szCs w:val="28"/>
        </w:rPr>
        <w:t xml:space="preserve"> khoáng sản</w:t>
      </w:r>
      <w:r>
        <w:rPr>
          <w:rFonts w:eastAsia="Times New Roman" w:cs="Aptos Display" w:ascii="Aptos Display" w:hAnsi="Aptos Display" w:asciiTheme="majorHAnsi" w:cstheme="majorHAnsi" w:hAnsiTheme="majorHAnsi"/>
          <w:color w:themeColor="text1" w:val="000000"/>
          <w:sz w:val="28"/>
          <w:szCs w:val="28"/>
          <w:lang w:eastAsia="vi-VN"/>
        </w:rPr>
        <w:t xml:space="preserve"> đối với giấy phép khai thác khoáng sản đã cấp, bao gồm cả giấy phép do cơ quan khác cấp trước ngày Luật này có hiệu lực thi hành </w:t>
      </w:r>
      <w:r>
        <w:rPr>
          <w:rFonts w:cs="Aptos Display" w:ascii="Aptos Display" w:hAnsi="Aptos Display" w:asciiTheme="majorHAnsi" w:cstheme="majorHAnsi" w:hAnsiTheme="majorHAnsi"/>
          <w:color w:themeColor="text1" w:val="000000"/>
          <w:sz w:val="28"/>
          <w:szCs w:val="28"/>
        </w:rPr>
        <w:t>và giấy phép thuộc thẩm quyền cấp giấy phép của Bộ trưởng Bộ Nông nghiệp và Môi trường quy định tại khoản 1 Điều 108 của Luật này</w:t>
      </w:r>
      <w:r>
        <w:rPr>
          <w:rFonts w:eastAsia="Times New Roman" w:cs="Aptos Display" w:ascii="Aptos Display" w:hAnsi="Aptos Display" w:asciiTheme="majorHAnsi" w:cstheme="majorHAnsi" w:hAnsiTheme="majorHAnsi"/>
          <w:color w:themeColor="text1" w:val="000000"/>
          <w:sz w:val="28"/>
          <w:szCs w:val="28"/>
          <w:lang w:eastAsia="vi-VN"/>
        </w:rPr>
        <w:t>.”;</w:t>
      </w:r>
    </w:p>
    <w:p>
      <w:pPr>
        <w:pStyle w:val="NormalWeb"/>
        <w:shd w:val="clear" w:color="auto" w:fill="FFFFFF"/>
        <w:tabs>
          <w:tab w:val="clear" w:pos="170"/>
          <w:tab w:val="left" w:pos="709" w:leader="none"/>
        </w:tabs>
        <w:spacing w:lineRule="exact" w:line="360" w:before="120" w:after="120"/>
        <w:jc w:val="both"/>
        <w:rPr>
          <w:rFonts w:ascii="Aptos Display" w:hAnsi="Aptos Display" w:cs="Aptos Display" w:asciiTheme="majorHAnsi" w:cstheme="majorHAnsi" w:hAnsiTheme="majorHAnsi"/>
          <w:color w:themeColor="text1" w:val="000000"/>
          <w:sz w:val="28"/>
          <w:szCs w:val="28"/>
          <w:lang w:eastAsia="vi-VN"/>
        </w:rPr>
      </w:pPr>
      <w:r>
        <w:rPr>
          <w:rFonts w:cs="Aptos Display" w:ascii="Aptos Display" w:hAnsi="Aptos Display" w:asciiTheme="majorHAnsi" w:cstheme="majorHAnsi" w:hAnsiTheme="majorHAnsi"/>
          <w:color w:themeColor="text1" w:val="000000"/>
          <w:sz w:val="28"/>
          <w:szCs w:val="28"/>
          <w:lang w:eastAsia="vi-VN"/>
        </w:rPr>
        <w:tab/>
        <w:t>b) Sửa đổi, bổ sung khoản 6 như sau:</w:t>
      </w:r>
    </w:p>
    <w:p>
      <w:pPr>
        <w:pStyle w:val="NormalWeb"/>
        <w:shd w:val="clear" w:color="auto" w:fill="FFFFFF"/>
        <w:tabs>
          <w:tab w:val="clear" w:pos="170"/>
          <w:tab w:val="left" w:pos="709" w:leader="none"/>
        </w:tabs>
        <w:spacing w:lineRule="exact" w:line="360" w:before="120" w:after="120"/>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lang w:eastAsia="vi-VN"/>
        </w:rPr>
        <w:tab/>
        <w:t xml:space="preserve">“6. Đối với trường hợp quy định tại khoản 2 Điều 82 của Luật này, tổ chức, cá nhân có trách nhiệm lập phương án đóng cửa mỏ </w:t>
      </w:r>
      <w:r>
        <w:rPr>
          <w:rFonts w:cs="Aptos Display" w:ascii="Aptos Display" w:hAnsi="Aptos Display" w:asciiTheme="majorHAnsi" w:cstheme="majorHAnsi" w:hAnsiTheme="majorHAnsi"/>
          <w:color w:themeColor="text1" w:val="000000"/>
          <w:sz w:val="28"/>
          <w:szCs w:val="28"/>
        </w:rPr>
        <w:t>khoáng sản</w:t>
      </w:r>
      <w:r>
        <w:rPr>
          <w:rStyle w:val="BodyText1"/>
          <w:rFonts w:eastAsia="Calibri" w:cs="Aptos Display" w:ascii="Aptos Display" w:hAnsi="Aptos Display" w:asciiTheme="majorHAnsi" w:cstheme="majorHAnsi" w:hAnsiTheme="majorHAnsi"/>
          <w:color w:themeColor="text1" w:val="000000"/>
          <w:spacing w:val="0"/>
          <w:sz w:val="28"/>
          <w:szCs w:val="28"/>
        </w:rPr>
        <w:t xml:space="preserve"> gửi Chủ tịch Ủy ban nhân dân cấp tỉnh xem xét, chấp thuận bằng văn bản trước khi thực hiện đóng cửa mỏ</w:t>
      </w:r>
      <w:r>
        <w:rPr>
          <w:rFonts w:cs="Aptos Display" w:ascii="Aptos Display" w:hAnsi="Aptos Display" w:asciiTheme="majorHAnsi" w:cstheme="majorHAnsi" w:hAnsiTheme="majorHAnsi"/>
          <w:color w:themeColor="text1" w:val="000000"/>
          <w:sz w:val="28"/>
          <w:szCs w:val="28"/>
        </w:rPr>
        <w:t xml:space="preserve"> khoáng sản, bao gồm cả phương án đóng cửa mỏ khoáng sản đối với giấy phép khai thác khoáng sản do cơ quan khác cấp trước ngày Luật này có hiệu lực thi hành và giấy phép khai thác khoáng sản thuộc thẩm quyền cấp giấy phép của Bộ trưởng Bộ Nông nghiệp và Môi trường quy định tại khoản 1 Điều 108 của Luật này.”;</w:t>
      </w:r>
    </w:p>
    <w:p>
      <w:pPr>
        <w:pStyle w:val="NormalWeb"/>
        <w:shd w:val="clear" w:color="auto" w:fill="FFFFFF"/>
        <w:tabs>
          <w:tab w:val="clear" w:pos="170"/>
          <w:tab w:val="left" w:pos="709" w:leader="none"/>
        </w:tabs>
        <w:spacing w:lineRule="exact" w:line="360" w:before="120" w:after="120"/>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ab/>
        <w:t>c) Bổ sung khoản 6a và 6b vào sau khoản 6 như sau:</w:t>
      </w:r>
    </w:p>
    <w:p>
      <w:pPr>
        <w:pStyle w:val="NormalWeb"/>
        <w:shd w:val="clear" w:color="auto" w:fill="FFFFFF"/>
        <w:tabs>
          <w:tab w:val="clear" w:pos="170"/>
          <w:tab w:val="left" w:pos="709" w:leader="none"/>
        </w:tabs>
        <w:spacing w:lineRule="exact" w:line="360" w:before="120" w:after="120"/>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ab/>
        <w:t>“6a. Đối với giấy phép khai thác khoáng sản nằm trên địa bàn từ 02 đơn vị hành chính cấp tỉnh trở lên</w:t>
      </w:r>
      <w:r>
        <w:rPr>
          <w:rFonts w:cs="Aptos Display" w:ascii="Aptos Display" w:hAnsi="Aptos Display" w:asciiTheme="majorHAnsi" w:cstheme="majorHAnsi" w:hAnsiTheme="majorHAnsi"/>
          <w:iCs/>
          <w:color w:themeColor="text1" w:val="000000"/>
          <w:sz w:val="28"/>
          <w:szCs w:val="28"/>
        </w:rPr>
        <w:t>,</w:t>
      </w:r>
      <w:r>
        <w:rPr>
          <w:rFonts w:cs="Aptos Display" w:ascii="Aptos Display" w:hAnsi="Aptos Display" w:asciiTheme="majorHAnsi" w:cstheme="majorHAnsi" w:hAnsiTheme="majorHAnsi"/>
          <w:color w:themeColor="text1" w:val="000000"/>
          <w:sz w:val="28"/>
          <w:szCs w:val="28"/>
        </w:rPr>
        <w:t xml:space="preserve"> bao gồm cả </w:t>
      </w:r>
      <w:r>
        <w:rPr>
          <w:rFonts w:eastAsia="Calibri"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 thì thẩm quyền phê duyệt đề án đóng cửa mỏ khoáng sản, điều chỉnh nội dung đề án đóng cửa mỏ khoáng sản đã được phê duyệt, chấp thuận phương án đóng cửa mỏ khoáng sản thuộc Chủ tịch Ủy ban nhân dân cấp tỉnh nơi có diện tích khu vực khai thác khoáng sản theo giấy phép khai thác khoáng sản chiếm tỷ lệ diện tích lớn nhất. Chủ tịch Ủy ban nhân dân cấp tỉnh nơi giải quyết thủ tục hành chính có trách nhiệm lấy ý kiến của Chủ tịch Ủy ban nhân dân cấp tỉnh có diện tích địa giới hành chính thuộc diện tích khu vực đề nghị phê duyệt đề án đóng cửa mỏ khoáng sản, điều chỉnh nội dung đề án đóng cửa mỏ khoáng sản đã được phê duyệt, chấp thuận phương án đóng cửa mỏ khoáng sản.</w:t>
      </w:r>
    </w:p>
    <w:p>
      <w:pPr>
        <w:pStyle w:val="NormalWeb"/>
        <w:shd w:val="clear" w:color="auto" w:fill="FFFFFF"/>
        <w:tabs>
          <w:tab w:val="clear" w:pos="170"/>
          <w:tab w:val="left" w:pos="709" w:leader="none"/>
        </w:tabs>
        <w:spacing w:lineRule="exact" w:line="360" w:before="120" w:after="120"/>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ab/>
        <w:t>6b. Đối với giấy phép khai thác khoáng sản thuộc khu vực biển nằm ngoài ranh giới quản lý hành chính trên biển của các tỉnh, thành phố; khu vực biển chưa xác định ranh giới quản lý hành chính trên biển của các tỉnh, thành phố</w:t>
      </w:r>
      <w:r>
        <w:rPr>
          <w:rFonts w:cs="Aptos Display" w:ascii="Aptos Display" w:hAnsi="Aptos Display" w:asciiTheme="majorHAnsi" w:cstheme="majorHAnsi" w:hAnsiTheme="majorHAnsi"/>
          <w:iCs/>
          <w:color w:themeColor="text1" w:val="000000"/>
          <w:sz w:val="28"/>
          <w:szCs w:val="28"/>
        </w:rPr>
        <w:t>,</w:t>
      </w:r>
      <w:r>
        <w:rPr>
          <w:rFonts w:cs="Aptos Display" w:ascii="Aptos Display" w:hAnsi="Aptos Display" w:asciiTheme="majorHAnsi" w:cstheme="majorHAnsi" w:hAnsiTheme="majorHAnsi"/>
          <w:color w:themeColor="text1" w:val="000000"/>
          <w:sz w:val="28"/>
          <w:szCs w:val="28"/>
        </w:rPr>
        <w:t xml:space="preserve"> bao gồm cả </w:t>
      </w:r>
      <w:r>
        <w:rPr>
          <w:rFonts w:eastAsia="Calibri" w:cs="Aptos Display" w:ascii="Aptos Display" w:hAnsi="Aptos Display" w:asciiTheme="majorHAnsi" w:cstheme="majorHAnsi" w:hAnsiTheme="majorHAnsi"/>
          <w:bCs/>
          <w:color w:themeColor="text1" w:val="000000"/>
          <w:sz w:val="28"/>
          <w:szCs w:val="28"/>
        </w:rPr>
        <w:t>giấy phép do cơ quan khác cấp trước ngày Luật này có hiệu lực thi hành</w:t>
      </w:r>
      <w:r>
        <w:rPr>
          <w:rFonts w:cs="Aptos Display" w:ascii="Aptos Display" w:hAnsi="Aptos Display" w:asciiTheme="majorHAnsi" w:cstheme="majorHAnsi" w:hAnsiTheme="majorHAnsi"/>
          <w:color w:themeColor="text1" w:val="000000"/>
          <w:sz w:val="28"/>
          <w:szCs w:val="28"/>
        </w:rPr>
        <w:t xml:space="preserve"> và giấy phép thuộc thẩm quyền cấp giấy phép của Bộ trưởng Bộ Nông nghiệp và Môi trường quy định tại khoản 1 Điều 108 của Luật này thì thẩm quyền phê duyệt đề án đóng cửa mỏ khoáng sản, điều chỉnh nội dung đề án đóng cửa mỏ khoáng sản đã được phê duyệt, chấp thuận phương án đóng cửa mỏ khoáng sản thuộc Chủ tịch Ủy ban nhân dân cấp tỉnh nơi có địa giới hành chính gần nhất với vị trí khu vực khai thác khoáng sản theo giấy phép khai thác khoáng sản.”.</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khoản 1 và khoản 2 Điều 84 như sau:</w:t>
      </w:r>
    </w:p>
    <w:p>
      <w:pPr>
        <w:pStyle w:val="Normal"/>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w:t>
      </w:r>
      <w:r>
        <w:rPr>
          <w:rFonts w:cs="Aptos Display" w:ascii="Aptos Display" w:hAnsi="Aptos Display" w:asciiTheme="majorHAnsi" w:cstheme="majorHAnsi" w:hAnsiTheme="majorHAnsi"/>
          <w:color w:themeColor="text1" w:val="000000"/>
          <w:sz w:val="28"/>
          <w:szCs w:val="28"/>
        </w:rPr>
        <w:t>1. Tổ chức, cá nhân khai thác khoáng sản thuộc đối tượng quy định tại khoản 1 và khoản 2 Điều 82 của Luật này phải thực hiện đóng cửa mỏ khoáng sản sau khi được cơ quan, người có thẩm quyền phê duyệt đề án đóng cửa mỏ khoáng sản hoặc chấp thuận phương án đóng cửa mỏ khoáng sản.</w:t>
      </w:r>
    </w:p>
    <w:p>
      <w:pPr>
        <w:pStyle w:val="Normal"/>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Đối với trường hợp khai thác khoáng sản nhóm IV, tổ chức, cá nhân khai thác khoáng sản thực hiện đóng cửa mỏ khoáng sản và báo cáo kết quả thực hiện về cơ quan quản lý nhà nước có thẩm quyền quy định tại Điều 108 của Luật này.</w:t>
      </w:r>
    </w:p>
    <w:p>
      <w:pPr>
        <w:pStyle w:val="Normal"/>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2. Trường hợp giấy phép chấm dứt hiệu lực theo quy định tại điểm d khoản 2 Điều 66, điểm d khoản 2 Điều 71 của Luật này hoặc trường hợp tổ chức, cá nhân khai thác khoáng sản không có khả năng thực hiện đóng cửa mỏ khoáng sản, Chủ tịch Ủy ban nhân dân cấp tỉnh lựa chọn đơn vị có đủ năng lực để  lập, tổ chức thực hiện đóng cửa mỏ khoáng sản. Việc lựa chọn đơn vị lập, thực hiện đóng cửa mỏ khoáng sản được thực hiện theo quy định của pháp luật về đấu thầu và pháp luật khác có liên quan.”.</w:t>
      </w:r>
    </w:p>
    <w:p>
      <w:pPr>
        <w:pStyle w:val="ListParagraph"/>
        <w:numPr>
          <w:ilvl w:val="0"/>
          <w:numId w:val="10"/>
        </w:numPr>
        <w:spacing w:lineRule="exact" w:line="360" w:before="120" w:after="120"/>
        <w:ind w:hanging="284" w:left="993"/>
        <w:contextualSpacing/>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khoản 3 Điều 108 như sau:</w:t>
      </w:r>
    </w:p>
    <w:p>
      <w:pPr>
        <w:pStyle w:val="Normal"/>
        <w:spacing w:lineRule="exact" w:line="360" w:before="120" w:after="120"/>
        <w:ind w:firstLine="709"/>
        <w:jc w:val="both"/>
        <w:rPr>
          <w:rFonts w:ascii="Aptos Display" w:hAnsi="Aptos Display" w:eastAsia="" w:cs="Aptos Display" w:asciiTheme="majorHAnsi" w:cstheme="majorHAnsi" w:eastAsiaTheme="majorEastAsia" w:hAnsiTheme="majorHAnsi"/>
          <w:color w:themeColor="text1" w:val="000000"/>
          <w:sz w:val="28"/>
          <w:szCs w:val="28"/>
        </w:rPr>
      </w:pPr>
      <w:r>
        <w:rPr>
          <w:rFonts w:eastAsia="" w:cs="Aptos Display" w:ascii="Aptos Display" w:hAnsi="Aptos Display" w:asciiTheme="majorHAnsi" w:cstheme="majorHAnsi" w:eastAsiaTheme="majorEastAsia" w:hAnsiTheme="majorHAnsi"/>
          <w:color w:themeColor="text1" w:val="000000"/>
          <w:sz w:val="28"/>
          <w:szCs w:val="28"/>
        </w:rPr>
        <w:t>“</w:t>
      </w:r>
      <w:r>
        <w:rPr>
          <w:rFonts w:eastAsia="" w:cs="Aptos Display" w:ascii="Aptos Display" w:hAnsi="Aptos Display" w:asciiTheme="majorHAnsi" w:cstheme="majorHAnsi" w:eastAsiaTheme="majorEastAsia" w:hAnsiTheme="majorHAnsi"/>
          <w:color w:themeColor="text1" w:val="000000"/>
          <w:sz w:val="28"/>
          <w:szCs w:val="28"/>
        </w:rPr>
        <w:t>3.</w:t>
      </w:r>
      <w:r>
        <w:rPr>
          <w:rFonts w:cs="Aptos Display" w:ascii="Aptos Display" w:hAnsi="Aptos Display" w:asciiTheme="majorHAnsi" w:cstheme="majorHAnsi" w:hAnsiTheme="majorHAnsi"/>
          <w:color w:themeColor="text1" w:val="000000"/>
          <w:sz w:val="28"/>
          <w:szCs w:val="28"/>
        </w:rPr>
        <w:t xml:space="preserve"> </w:t>
      </w:r>
      <w:r>
        <w:rPr>
          <w:rFonts w:eastAsia="" w:cs="Aptos Display" w:ascii="Aptos Display" w:hAnsi="Aptos Display" w:asciiTheme="majorHAnsi" w:cstheme="majorHAnsi" w:eastAsiaTheme="majorEastAsia" w:hAnsiTheme="majorHAnsi"/>
          <w:color w:themeColor="text1" w:val="000000"/>
          <w:sz w:val="28"/>
          <w:szCs w:val="28"/>
        </w:rPr>
        <w:t xml:space="preserve">Trừ trường hợp quy định tại khoản 4 Điều này và điểm b khoản 2 Điều 111 của Luật này mà tổ chức, cá nhân lựa chọn thực hiện trình tự, thủ tục, thẩm quyền theo quy định của pháp luật tại thời điểm tiếp nhận hồ sơ, thẩm quyền cấp lại, gia hạn, điều chỉnh, thu hồi, chấp thuận trả lại, cấp đổi giấy phép và chấp thuận chuyển nhượng quyền thăm dò, khai thác khoáng sản: </w:t>
      </w:r>
    </w:p>
    <w:p>
      <w:pPr>
        <w:pStyle w:val="Normal"/>
        <w:spacing w:lineRule="exact" w:line="360" w:before="120" w:after="120"/>
        <w:ind w:firstLine="709"/>
        <w:jc w:val="both"/>
        <w:rPr>
          <w:rFonts w:ascii="Aptos Display" w:hAnsi="Aptos Display" w:eastAsia="" w:cs="Aptos Display" w:asciiTheme="majorHAnsi" w:cstheme="majorHAnsi" w:eastAsiaTheme="majorEastAsia" w:hAnsiTheme="majorHAnsi"/>
          <w:color w:themeColor="text1" w:val="000000"/>
          <w:sz w:val="28"/>
          <w:szCs w:val="28"/>
        </w:rPr>
      </w:pPr>
      <w:r>
        <w:rPr>
          <w:rFonts w:eastAsia="" w:cs="Aptos Display" w:ascii="Aptos Display" w:hAnsi="Aptos Display" w:asciiTheme="majorHAnsi" w:cstheme="majorHAnsi" w:eastAsiaTheme="majorEastAsia" w:hAnsiTheme="majorHAnsi"/>
          <w:color w:themeColor="text1" w:val="000000"/>
          <w:sz w:val="28"/>
          <w:szCs w:val="28"/>
        </w:rPr>
        <w:t xml:space="preserve">a) Bộ trưởng Bộ Nông nghiệp và Môi trường cấp lại, gia hạn, điều chỉnh, thu hồi, chấp thuận trả lại, cấp đổi giấy phép khai thác khoáng sản và chấp thuận chuyển nhượng quyền khai thác khoáng sản đối với các trường hợp quy định tại khoản 1 Điều này; </w:t>
      </w:r>
    </w:p>
    <w:p>
      <w:pPr>
        <w:pStyle w:val="Normal"/>
        <w:spacing w:lineRule="exact" w:line="360" w:before="120" w:after="120"/>
        <w:ind w:firstLine="709"/>
        <w:jc w:val="both"/>
        <w:rPr>
          <w:rFonts w:ascii="Aptos Display" w:hAnsi="Aptos Display" w:eastAsia="" w:cs="Aptos Display" w:asciiTheme="majorHAnsi" w:cstheme="majorHAnsi" w:eastAsiaTheme="majorEastAsia" w:hAnsiTheme="majorHAnsi"/>
          <w:color w:themeColor="text1" w:val="000000"/>
          <w:sz w:val="28"/>
          <w:szCs w:val="28"/>
        </w:rPr>
      </w:pPr>
      <w:r>
        <w:rPr>
          <w:rFonts w:eastAsia="" w:cs="Aptos Display" w:ascii="Aptos Display" w:hAnsi="Aptos Display" w:asciiTheme="majorHAnsi" w:cstheme="majorHAnsi" w:eastAsiaTheme="majorEastAsia" w:hAnsiTheme="majorHAnsi"/>
          <w:color w:themeColor="text1" w:val="000000"/>
          <w:sz w:val="28"/>
          <w:szCs w:val="28"/>
        </w:rPr>
        <w:t>b) Chủ tịch Ủy ban nhân dân cấp tỉnh cấp lại, gia hạn, điều chỉnh, thu hồi, chấp thuận trả lại, cấp đổi giấy phép khai thác khoáng sản và chấp thuận chuyển nhượng quyền khai thác khoáng sản đối với khoáng sản nhóm II, nhóm III; gia hạn, điều chỉnh, thu hồi, chấp thuận trả lại giấy phép khai thác khoáng sản nhóm IV; gia hạn, điều chỉnh, thu hồi, chấp thuận trả lại và chấp thuận chuyển nhượng quyền khai thác khoáng sản đối với giấy phép khai thác tận thu khoáng sản.</w:t>
      </w:r>
    </w:p>
    <w:p>
      <w:pPr>
        <w:pStyle w:val="Normal"/>
        <w:spacing w:lineRule="exact" w:line="360" w:before="120" w:after="120"/>
        <w:ind w:firstLine="709"/>
        <w:jc w:val="both"/>
        <w:rPr>
          <w:rFonts w:ascii="Aptos Display" w:hAnsi="Aptos Display" w:eastAsia="" w:cs="Aptos Display" w:asciiTheme="majorHAnsi" w:cstheme="majorHAnsi" w:eastAsiaTheme="majorEastAsia" w:hAnsiTheme="majorHAnsi"/>
          <w:color w:themeColor="text1" w:val="000000"/>
          <w:sz w:val="28"/>
          <w:szCs w:val="28"/>
        </w:rPr>
      </w:pPr>
      <w:r>
        <w:rPr>
          <w:rFonts w:eastAsia="" w:cs="Aptos Display" w:ascii="Aptos Display" w:hAnsi="Aptos Display" w:asciiTheme="majorHAnsi" w:cstheme="majorHAnsi" w:eastAsiaTheme="majorEastAsia" w:hAnsiTheme="majorHAnsi"/>
          <w:color w:themeColor="text1" w:val="000000"/>
          <w:sz w:val="28"/>
          <w:szCs w:val="28"/>
        </w:rPr>
        <w:t>Trường hợp khu vực đề nghị cấp lại, gia hạn, điều chỉnh, cấp đổi, chấp thuận trả lại giấy phép khai thác khoáng sản, chấp thuận chuyển nhượng quyền khai thác khoáng sản nằm trên địa bàn từ 02 đơn vị hành chính cấp tỉnh trở lên thì thẩm quyền giải quyết thuộc Chủ tịch Ủy ban nhân dân cấp tỉnh nơi có diện tích khu vực khai thác khoáng sản chiếm tỷ lệ diện tích lớn nhất. Chủ tịch Ủy ban nhân dân cấp tỉnh nơi giải quyết thủ tục hành chính có trách nhiệm lấy ý kiến của Chủ tịch Ủy ban nhân dân cấp tỉnh có diện tích địa giới hành chính thuộc diện tích khu vực khai thác khoáng sản theo giấy phép khai thác khoáng sản;</w:t>
      </w:r>
    </w:p>
    <w:p>
      <w:pPr>
        <w:pStyle w:val="Normal"/>
        <w:spacing w:lineRule="exact" w:line="360" w:before="120" w:after="120"/>
        <w:ind w:firstLine="709"/>
        <w:jc w:val="both"/>
        <w:rPr>
          <w:rFonts w:ascii="Aptos Display" w:hAnsi="Aptos Display" w:eastAsia="" w:cs="Aptos Display" w:asciiTheme="majorHAnsi" w:cstheme="majorHAnsi" w:eastAsiaTheme="majorEastAsia" w:hAnsiTheme="majorHAnsi"/>
          <w:color w:themeColor="text1" w:val="000000"/>
          <w:sz w:val="28"/>
          <w:szCs w:val="28"/>
        </w:rPr>
      </w:pPr>
      <w:r>
        <w:rPr>
          <w:rFonts w:eastAsia="" w:cs="Aptos Display" w:ascii="Aptos Display" w:hAnsi="Aptos Display" w:asciiTheme="majorHAnsi" w:cstheme="majorHAnsi" w:eastAsiaTheme="majorEastAsia" w:hAnsiTheme="majorHAnsi"/>
          <w:color w:themeColor="text1" w:val="000000"/>
          <w:sz w:val="28"/>
          <w:szCs w:val="28"/>
        </w:rPr>
        <w:t>c) Chủ tịch Ủy ban nhân dân cấp tỉnh cấp lại, gia hạn, điều chỉnh, thu hồi, chấp thuận trả lại giấy phép thăm dò khoáng sản và chấp thuận chuyển nhượng quyền thăm dò khoáng sản đối với các trường hợp quy định tại khoản 1 và khoản 2 Điều này;</w:t>
      </w:r>
    </w:p>
    <w:p>
      <w:pPr>
        <w:pStyle w:val="Normal"/>
        <w:spacing w:lineRule="exact" w:line="360" w:before="120" w:after="120"/>
        <w:ind w:firstLine="709"/>
        <w:jc w:val="both"/>
        <w:rPr>
          <w:rFonts w:ascii="Aptos Display" w:hAnsi="Aptos Display" w:eastAsia="" w:cs="Aptos Display" w:asciiTheme="majorHAnsi" w:cstheme="majorHAnsi" w:eastAsiaTheme="majorEastAsia" w:hAnsiTheme="majorHAnsi"/>
          <w:color w:themeColor="text1" w:val="000000"/>
          <w:sz w:val="28"/>
          <w:szCs w:val="28"/>
        </w:rPr>
      </w:pPr>
      <w:r>
        <w:rPr>
          <w:rFonts w:eastAsia="" w:cs="Aptos Display" w:ascii="Aptos Display" w:hAnsi="Aptos Display" w:asciiTheme="majorHAnsi" w:cstheme="majorHAnsi" w:eastAsiaTheme="majorEastAsia" w:hAnsiTheme="majorHAnsi"/>
          <w:color w:themeColor="text1" w:val="000000"/>
          <w:sz w:val="28"/>
          <w:szCs w:val="28"/>
        </w:rPr>
        <w:t>Trường hợp khu vực đề nghị cấp lại, gia hạn, điều chỉnh, chấp thuận trả lại giấy phép thăm dò khoáng sản, chấp thuận chuyển nhượng quyền thăm dò khoáng sản nằm trên địa bàn từ 02 đơn vị hành chính cấp tỉnh trở lên thì thẩm quyền giải quyết thuộc Chủ tịch Ủy ban nhân dân cấp tỉnh nơi có diện tích khu vực thăm dò khoáng sản chiếm tỷ lệ diện tích lớn nhất. Chủ tịch Ủy ban nhân dân cấp tỉnh nơi giải quyết thủ tục hành chính có trách nhiệm lấy ý kiến của Chủ tịch Ủy ban nhân dân các tỉnh, thành phố có diện tích địa giới hành chính thuộc diện tích khu vực thăm dò khoáng sản theo giấy phép thăm dò khoáng sản.</w:t>
      </w:r>
    </w:p>
    <w:p>
      <w:pPr>
        <w:pStyle w:val="Normal"/>
        <w:spacing w:lineRule="exact" w:line="360" w:before="120" w:after="120"/>
        <w:ind w:firstLine="709"/>
        <w:jc w:val="both"/>
        <w:rPr>
          <w:rFonts w:ascii="Aptos Display" w:hAnsi="Aptos Display" w:eastAsia="" w:cs="Aptos Display" w:asciiTheme="majorHAnsi" w:cstheme="majorHAnsi" w:eastAsiaTheme="majorEastAsia" w:hAnsiTheme="majorHAnsi"/>
          <w:color w:themeColor="text1" w:val="000000"/>
          <w:sz w:val="28"/>
          <w:szCs w:val="28"/>
        </w:rPr>
      </w:pPr>
      <w:r>
        <w:rPr>
          <w:rFonts w:eastAsia="" w:cs="Aptos Display" w:ascii="Aptos Display" w:hAnsi="Aptos Display" w:asciiTheme="majorHAnsi" w:cstheme="majorHAnsi" w:eastAsiaTheme="majorEastAsia" w:hAnsiTheme="majorHAnsi"/>
          <w:color w:themeColor="text1" w:val="000000"/>
          <w:sz w:val="28"/>
          <w:szCs w:val="28"/>
        </w:rPr>
        <w:t>Trường hợp khu vực đề nghị cấp lại, gia hạn, điều chỉnh, chấp thuận trả lại giấy phép thăm dò khoáng sản, chấp thuận chuyển nhượng quyền thăm dò khoáng sản thuộc khu vực biển nằm ngoài ranh giới quản lý hành chính trên biển của các tỉnh, thành phố hoặc khu vực biển chưa xác định ranh giới quản lý hành chính trên biển của các tỉnh, thành phố thì thẩm quyền giải quyết thuộc Chủ tịch Ủy ban nhân dân cấp tỉnh nơi có địa giới hành chính gần nhất với vị trí khu vực thăm dò khoáng sản theo giấy phép thăm dò khoáng sản.”.</w:t>
      </w:r>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0"/>
        <w:rPr>
          <w:rFonts w:ascii="Aptos Display" w:hAnsi="Aptos Display" w:eastAsia="Times New Roman" w:cs="Aptos Display" w:asciiTheme="majorHAnsi" w:cstheme="majorHAnsi" w:hAnsiTheme="majorHAnsi"/>
          <w:b/>
          <w:bCs/>
          <w:color w:themeColor="text1" w:val="000000"/>
          <w:sz w:val="28"/>
          <w:szCs w:val="28"/>
        </w:rPr>
      </w:pPr>
      <w:r>
        <w:rPr>
          <w:rFonts w:eastAsia="Times New Roman" w:cs="Aptos Display" w:ascii="Aptos Display" w:hAnsi="Aptos Display" w:asciiTheme="majorHAnsi" w:cstheme="majorHAnsi" w:hAnsiTheme="majorHAnsi"/>
          <w:b/>
          <w:bCs/>
          <w:color w:themeColor="text1" w:val="000000"/>
          <w:sz w:val="28"/>
          <w:szCs w:val="28"/>
        </w:rPr>
        <w:t xml:space="preserve"> </w:t>
      </w:r>
      <w:bookmarkStart w:id="12" w:name="_Hlk230960834"/>
      <w:r>
        <w:rPr>
          <w:rFonts w:eastAsia="Times New Roman" w:cs="Aptos Display" w:ascii="Aptos Display" w:hAnsi="Aptos Display" w:asciiTheme="majorHAnsi" w:cstheme="majorHAnsi" w:hAnsiTheme="majorHAnsi"/>
          <w:b/>
          <w:bCs/>
          <w:color w:themeColor="text1" w:val="000000"/>
          <w:sz w:val="28"/>
          <w:szCs w:val="28"/>
        </w:rPr>
        <w:t xml:space="preserve">Sửa đổi, bổ sung một số điều của Luật Khí tượng thủy văn </w:t>
      </w:r>
      <w:bookmarkEnd w:id="12"/>
    </w:p>
    <w:p>
      <w:pPr>
        <w:pStyle w:val="ListParagraph"/>
        <w:widowControl w:val="false"/>
        <w:numPr>
          <w:ilvl w:val="0"/>
          <w:numId w:val="8"/>
        </w:numPr>
        <w:tabs>
          <w:tab w:val="clear" w:pos="170"/>
          <w:tab w:val="left" w:pos="1276" w:leader="none"/>
          <w:tab w:val="left" w:pos="1560" w:leader="none"/>
          <w:tab w:val="left" w:pos="1701" w:leader="none"/>
        </w:tabs>
        <w:suppressAutoHyphens w:val="false"/>
        <w:spacing w:lineRule="exact" w:line="360" w:before="120" w:after="120"/>
        <w:contextualSpacing w:val="false"/>
        <w:jc w:val="both"/>
        <w:outlineLvl w:val="0"/>
        <w:rPr>
          <w:rFonts w:ascii="Aptos Display" w:hAnsi="Aptos Display" w:eastAsia="Times New Roman" w:cs="Aptos Display" w:asciiTheme="majorHAnsi" w:cstheme="majorHAnsi" w:hAnsiTheme="majorHAnsi"/>
          <w:color w:themeColor="text1" w:val="000000"/>
          <w:sz w:val="28"/>
          <w:szCs w:val="28"/>
        </w:rPr>
      </w:pPr>
      <w:r>
        <w:rPr>
          <w:rFonts w:eastAsia="Times New Roman" w:cs="Aptos Display" w:ascii="Aptos Display" w:hAnsi="Aptos Display" w:asciiTheme="majorHAnsi" w:cstheme="majorHAnsi" w:hAnsiTheme="majorHAnsi"/>
          <w:color w:themeColor="text1" w:val="000000"/>
          <w:sz w:val="28"/>
          <w:szCs w:val="28"/>
        </w:rPr>
        <w:t>Sửa đổi, bổ sung khoản 10 Điều 8 như sau:</w:t>
      </w:r>
    </w:p>
    <w:p>
      <w:pPr>
        <w:pStyle w:val="Normal"/>
        <w:widowControl w:val="false"/>
        <w:numPr>
          <w:ilvl w:val="0"/>
          <w:numId w:val="0"/>
        </w:numPr>
        <w:tabs>
          <w:tab w:val="clear" w:pos="170"/>
          <w:tab w:val="left" w:pos="1276" w:leader="none"/>
          <w:tab w:val="left" w:pos="1560" w:leader="none"/>
          <w:tab w:val="left" w:pos="1701" w:leader="none"/>
        </w:tabs>
        <w:suppressAutoHyphens w:val="false"/>
        <w:spacing w:lineRule="exact" w:line="360" w:before="120" w:after="120"/>
        <w:jc w:val="both"/>
        <w:outlineLvl w:val="0"/>
        <w:rPr>
          <w:rFonts w:ascii="Aptos Display" w:hAnsi="Aptos Display" w:eastAsia="Times New Roman" w:cs="Aptos Display" w:asciiTheme="majorHAnsi" w:cstheme="majorHAnsi" w:hAnsiTheme="majorHAnsi"/>
          <w:color w:themeColor="text1" w:val="000000"/>
          <w:sz w:val="28"/>
          <w:szCs w:val="28"/>
          <w:lang w:val="en-US"/>
        </w:rPr>
      </w:pPr>
      <w:r>
        <w:rPr>
          <w:rFonts w:eastAsia="Times New Roman" w:cs="Aptos Display" w:ascii="Aptos Display" w:hAnsi="Aptos Display" w:asciiTheme="majorHAnsi" w:cstheme="majorHAnsi" w:hAnsiTheme="majorHAnsi"/>
          <w:color w:themeColor="text1" w:val="000000"/>
          <w:sz w:val="28"/>
          <w:szCs w:val="28"/>
        </w:rPr>
        <w:t xml:space="preserve">          “</w:t>
      </w:r>
      <w:r>
        <w:rPr>
          <w:rFonts w:eastAsia="Times New Roman" w:cs="Aptos Display" w:ascii="Aptos Display" w:hAnsi="Aptos Display" w:asciiTheme="majorHAnsi" w:cstheme="majorHAnsi" w:hAnsiTheme="majorHAnsi"/>
          <w:color w:themeColor="text1" w:val="000000"/>
          <w:sz w:val="28"/>
          <w:szCs w:val="28"/>
        </w:rPr>
        <w:t>10. Tác động vào thời tiết mà không thông báo cho cơ quan quản lý nhà nước có thẩm quyền.”.</w:t>
      </w:r>
    </w:p>
    <w:p>
      <w:pPr>
        <w:pStyle w:val="ListParagraph"/>
        <w:widowControl w:val="false"/>
        <w:numPr>
          <w:ilvl w:val="0"/>
          <w:numId w:val="8"/>
        </w:numPr>
        <w:tabs>
          <w:tab w:val="clear" w:pos="170"/>
          <w:tab w:val="left" w:pos="1276" w:leader="none"/>
          <w:tab w:val="left" w:pos="1560" w:leader="none"/>
          <w:tab w:val="left" w:pos="1701" w:leader="none"/>
        </w:tabs>
        <w:suppressAutoHyphens w:val="false"/>
        <w:spacing w:lineRule="exact" w:line="360" w:before="120" w:after="120"/>
        <w:contextualSpacing/>
        <w:jc w:val="both"/>
        <w:outlineLvl w:val="0"/>
        <w:rPr>
          <w:rFonts w:ascii="Aptos Display" w:hAnsi="Aptos Display" w:eastAsia="Times New Roman" w:cs="Aptos Display" w:asciiTheme="majorHAnsi" w:cstheme="majorHAnsi" w:hAnsiTheme="majorHAnsi"/>
          <w:color w:themeColor="text1" w:val="000000"/>
          <w:sz w:val="28"/>
          <w:szCs w:val="28"/>
          <w:lang w:val="en-US"/>
        </w:rPr>
      </w:pPr>
      <w:r>
        <w:rPr>
          <w:rFonts w:eastAsia="Times New Roman" w:cs="Aptos Display" w:ascii="Aptos Display" w:hAnsi="Aptos Display" w:asciiTheme="majorHAnsi" w:cstheme="majorHAnsi" w:hAnsiTheme="majorHAnsi"/>
          <w:color w:themeColor="text1" w:val="000000"/>
          <w:sz w:val="28"/>
          <w:szCs w:val="28"/>
          <w:lang w:val="en-US"/>
        </w:rPr>
        <w:t xml:space="preserve">Sửa đổi, bổ sung khoản 4 Điều 41 như sau: </w:t>
      </w:r>
    </w:p>
    <w:p>
      <w:pPr>
        <w:pStyle w:val="Normal"/>
        <w:spacing w:before="120" w:after="200"/>
        <w:ind w:firstLine="720"/>
        <w:jc w:val="both"/>
        <w:rPr>
          <w:sz w:val="28"/>
          <w:szCs w:val="28"/>
          <w:lang w:val="en-US"/>
        </w:rPr>
      </w:pPr>
      <w:r>
        <w:rPr>
          <w:sz w:val="28"/>
          <w:szCs w:val="28"/>
        </w:rPr>
        <w:t>“</w:t>
      </w:r>
      <w:r>
        <w:rPr>
          <w:sz w:val="28"/>
          <w:szCs w:val="28"/>
        </w:rPr>
        <w:t>4. Tác động vào thời tiết chỉ được thực hiện theo kế hoạch đã thông báo đến cơ quan nhà nước có thẩm quyền theo quy định.”.</w:t>
      </w:r>
    </w:p>
    <w:p>
      <w:pPr>
        <w:pStyle w:val="ListParagraph"/>
        <w:widowControl w:val="false"/>
        <w:numPr>
          <w:ilvl w:val="0"/>
          <w:numId w:val="8"/>
        </w:numPr>
        <w:tabs>
          <w:tab w:val="clear" w:pos="170"/>
          <w:tab w:val="left" w:pos="1276" w:leader="none"/>
          <w:tab w:val="left" w:pos="1560" w:leader="none"/>
          <w:tab w:val="left" w:pos="1701" w:leader="none"/>
        </w:tabs>
        <w:suppressAutoHyphens w:val="false"/>
        <w:spacing w:lineRule="exact" w:line="360" w:before="120" w:after="120"/>
        <w:contextualSpacing w:val="false"/>
        <w:jc w:val="both"/>
        <w:outlineLvl w:val="0"/>
        <w:rPr>
          <w:rFonts w:ascii="Aptos Display" w:hAnsi="Aptos Display" w:eastAsia="Times New Roman" w:cs="Aptos Display" w:asciiTheme="majorHAnsi" w:cstheme="majorHAnsi" w:hAnsiTheme="majorHAnsi"/>
          <w:b/>
          <w:bCs/>
          <w:color w:themeColor="text1" w:val="000000"/>
          <w:sz w:val="28"/>
          <w:szCs w:val="28"/>
        </w:rPr>
      </w:pPr>
      <w:r>
        <w:rPr>
          <w:rFonts w:eastAsia="Times New Roman" w:cs="Aptos Display" w:ascii="Aptos Display" w:hAnsi="Aptos Display" w:asciiTheme="majorHAnsi" w:cstheme="majorHAnsi" w:hAnsiTheme="majorHAnsi"/>
          <w:color w:themeColor="text1" w:val="000000"/>
          <w:sz w:val="28"/>
          <w:szCs w:val="28"/>
        </w:rPr>
        <w:t>Sửa đổi, bổ sung Điều 44 như sau:</w:t>
      </w:r>
    </w:p>
    <w:p>
      <w:pPr>
        <w:pStyle w:val="Normal"/>
        <w:spacing w:lineRule="exact" w:line="360" w:before="120" w:after="120"/>
        <w:ind w:firstLine="720"/>
        <w:jc w:val="both"/>
        <w:rPr>
          <w:b/>
          <w:bCs/>
          <w:color w:themeColor="text1" w:val="000000"/>
          <w:sz w:val="28"/>
          <w:szCs w:val="28"/>
        </w:rPr>
      </w:pPr>
      <w:r>
        <w:rPr>
          <w:b/>
          <w:bCs/>
          <w:color w:themeColor="text1" w:val="000000"/>
          <w:sz w:val="28"/>
          <w:szCs w:val="28"/>
        </w:rPr>
        <w:t>“</w:t>
      </w:r>
      <w:r>
        <w:rPr>
          <w:b/>
          <w:bCs/>
          <w:color w:themeColor="text1" w:val="000000"/>
          <w:sz w:val="28"/>
          <w:szCs w:val="28"/>
        </w:rPr>
        <w:t>Điều 44. Xây dựng kế hoạch tác động vào thời tiết và giám sát thực hiện</w:t>
      </w:r>
    </w:p>
    <w:p>
      <w:pPr>
        <w:pStyle w:val="Normal"/>
        <w:spacing w:lineRule="exact" w:line="360" w:before="120" w:after="120"/>
        <w:ind w:firstLine="720"/>
        <w:jc w:val="both"/>
        <w:rPr>
          <w:color w:themeColor="text1" w:val="000000"/>
          <w:sz w:val="28"/>
          <w:szCs w:val="28"/>
        </w:rPr>
      </w:pPr>
      <w:r>
        <w:rPr>
          <w:color w:themeColor="text1" w:val="000000"/>
          <w:sz w:val="28"/>
          <w:szCs w:val="28"/>
        </w:rPr>
        <w:t>1. Cơ quan, tổ chức có nhu cầu tác động vào thời tiết thông báo kế hoạch tác động vào thời tiết đến cơ quan tiếp nhận trước ít nhất 30 ngày làm việc tính đến thời điểm thực hiện tác động vào thời tiết.</w:t>
      </w:r>
    </w:p>
    <w:p>
      <w:pPr>
        <w:pStyle w:val="Normal"/>
        <w:spacing w:lineRule="exact" w:line="360" w:before="120" w:after="120"/>
        <w:ind w:firstLine="720"/>
        <w:jc w:val="both"/>
        <w:rPr>
          <w:color w:themeColor="text1" w:val="000000"/>
          <w:sz w:val="28"/>
          <w:szCs w:val="28"/>
        </w:rPr>
      </w:pPr>
      <w:r>
        <w:rPr>
          <w:color w:themeColor="text1" w:val="000000"/>
          <w:sz w:val="28"/>
          <w:szCs w:val="28"/>
        </w:rPr>
        <w:t>Khi có điều chỉnh kế hoạch tác động vào thời tiết thì cơ quan, tổ chức phải có trách nhiệm thông báo việc điều chỉnh tới cơ quan tiếp nhận trước ít nhất 05 ngày làm việc tính đến thời điểm thực hiện tác động vào thời tiết.</w:t>
      </w:r>
    </w:p>
    <w:p>
      <w:pPr>
        <w:pStyle w:val="Normal"/>
        <w:spacing w:lineRule="exact" w:line="360" w:before="120" w:after="120"/>
        <w:ind w:firstLine="720"/>
        <w:jc w:val="both"/>
        <w:rPr>
          <w:color w:themeColor="text1" w:val="000000"/>
          <w:sz w:val="28"/>
          <w:szCs w:val="28"/>
        </w:rPr>
      </w:pPr>
      <w:r>
        <w:rPr>
          <w:color w:themeColor="text1" w:val="000000"/>
          <w:sz w:val="28"/>
          <w:szCs w:val="28"/>
        </w:rPr>
        <w:t>2. Cơ quan tiếp nhận thông báo về kế hoạch tác động vào thời tiết:</w:t>
      </w:r>
    </w:p>
    <w:p>
      <w:pPr>
        <w:pStyle w:val="Normal"/>
        <w:spacing w:lineRule="exact" w:line="360" w:before="120" w:after="120"/>
        <w:ind w:firstLine="720"/>
        <w:jc w:val="both"/>
        <w:rPr>
          <w:color w:themeColor="text1" w:val="000000"/>
          <w:sz w:val="28"/>
          <w:szCs w:val="28"/>
        </w:rPr>
      </w:pPr>
      <w:r>
        <w:rPr>
          <w:color w:themeColor="text1" w:val="000000"/>
          <w:sz w:val="28"/>
          <w:szCs w:val="28"/>
        </w:rPr>
        <w:t>a) Bộ Nông nghiệp và Môi trường tiếp nhận thông báo kế hoạch tác động vào thời tiết đối với trường hợp tác động vào thời tiết trên phạm vi từ hai đơn vị hành chính cấp tỉnh trở lên;</w:t>
      </w:r>
    </w:p>
    <w:p>
      <w:pPr>
        <w:pStyle w:val="Normal"/>
        <w:spacing w:lineRule="exact" w:line="360" w:before="120" w:after="120"/>
        <w:ind w:firstLine="720"/>
        <w:jc w:val="both"/>
        <w:rPr>
          <w:color w:themeColor="text1" w:val="000000"/>
          <w:sz w:val="28"/>
          <w:szCs w:val="28"/>
        </w:rPr>
      </w:pPr>
      <w:r>
        <w:rPr>
          <w:color w:themeColor="text1" w:val="000000"/>
          <w:sz w:val="28"/>
          <w:szCs w:val="28"/>
        </w:rPr>
        <w:t>b) Ủy ban nhân dân cấp tỉnh tiếp nhận thông báo kế hoạch tác động vào thời tiết đối với trường hợp tác động vào thời tiết trong địa giới hành chính của tỉnh, thành phố trực thuộc trung ương.</w:t>
      </w:r>
    </w:p>
    <w:p>
      <w:pPr>
        <w:pStyle w:val="Normal"/>
        <w:spacing w:lineRule="exact" w:line="360" w:before="120" w:after="120"/>
        <w:ind w:firstLine="720"/>
        <w:jc w:val="both"/>
        <w:rPr>
          <w:color w:themeColor="text1" w:val="000000"/>
          <w:sz w:val="28"/>
          <w:szCs w:val="28"/>
        </w:rPr>
      </w:pPr>
      <w:r>
        <w:rPr>
          <w:color w:themeColor="text1" w:val="000000"/>
          <w:sz w:val="28"/>
          <w:szCs w:val="28"/>
        </w:rPr>
        <w:t>3. Kế hoạch tác động vào thời tiết bao gồm các nội dung sau đây:</w:t>
      </w:r>
    </w:p>
    <w:p>
      <w:pPr>
        <w:pStyle w:val="Normal"/>
        <w:spacing w:lineRule="exact" w:line="360" w:before="120" w:after="120"/>
        <w:ind w:firstLine="720"/>
        <w:jc w:val="both"/>
        <w:rPr>
          <w:color w:themeColor="text1" w:val="000000"/>
          <w:sz w:val="28"/>
          <w:szCs w:val="28"/>
        </w:rPr>
      </w:pPr>
      <w:r>
        <w:rPr>
          <w:color w:themeColor="text1" w:val="000000"/>
          <w:sz w:val="28"/>
          <w:szCs w:val="28"/>
        </w:rPr>
        <w:t>a) Tên cơ quan, tổ chức tham gia thực hiện tác động vào thời tiết;</w:t>
      </w:r>
    </w:p>
    <w:p>
      <w:pPr>
        <w:pStyle w:val="Normal"/>
        <w:spacing w:lineRule="exact" w:line="360" w:before="120" w:after="120"/>
        <w:ind w:firstLine="720"/>
        <w:jc w:val="both"/>
        <w:rPr>
          <w:color w:themeColor="text1" w:val="000000"/>
          <w:sz w:val="28"/>
          <w:szCs w:val="28"/>
        </w:rPr>
      </w:pPr>
      <w:r>
        <w:rPr>
          <w:color w:themeColor="text1" w:val="000000"/>
          <w:sz w:val="28"/>
          <w:szCs w:val="28"/>
        </w:rPr>
        <w:t>b) Mục đích tác động vào thời tiết quy định tại Điều 42 của Luật này;</w:t>
      </w:r>
    </w:p>
    <w:p>
      <w:pPr>
        <w:pStyle w:val="Normal"/>
        <w:spacing w:lineRule="exact" w:line="360" w:before="120" w:after="120"/>
        <w:ind w:firstLine="720"/>
        <w:jc w:val="both"/>
        <w:rPr>
          <w:color w:themeColor="text1" w:val="000000"/>
          <w:sz w:val="28"/>
          <w:szCs w:val="28"/>
        </w:rPr>
      </w:pPr>
      <w:r>
        <w:rPr>
          <w:color w:themeColor="text1" w:val="000000"/>
          <w:sz w:val="28"/>
          <w:szCs w:val="28"/>
        </w:rPr>
        <w:t>c) Khu vực dự kiến thực hiện tác động vào thời tiết;</w:t>
      </w:r>
    </w:p>
    <w:p>
      <w:pPr>
        <w:pStyle w:val="Normal"/>
        <w:spacing w:lineRule="exact" w:line="360" w:before="120" w:after="120"/>
        <w:ind w:firstLine="720"/>
        <w:jc w:val="both"/>
        <w:rPr>
          <w:color w:themeColor="text1" w:val="000000"/>
          <w:sz w:val="28"/>
          <w:szCs w:val="28"/>
        </w:rPr>
      </w:pPr>
      <w:r>
        <w:rPr>
          <w:color w:themeColor="text1" w:val="000000"/>
          <w:sz w:val="28"/>
          <w:szCs w:val="28"/>
        </w:rPr>
        <w:t>d) Thời gian dự kiến thực hiện tác động vào thời tiết;</w:t>
      </w:r>
    </w:p>
    <w:p>
      <w:pPr>
        <w:pStyle w:val="Normal"/>
        <w:spacing w:lineRule="exact" w:line="360" w:before="120" w:after="120"/>
        <w:ind w:firstLine="720"/>
        <w:jc w:val="both"/>
        <w:rPr>
          <w:color w:themeColor="text1" w:val="000000"/>
          <w:sz w:val="28"/>
          <w:szCs w:val="28"/>
        </w:rPr>
      </w:pPr>
      <w:r>
        <w:rPr>
          <w:color w:themeColor="text1" w:val="000000"/>
          <w:sz w:val="28"/>
          <w:szCs w:val="28"/>
        </w:rPr>
        <w:t>đ) Giải pháp thực hiện tác động vào thời tiết;</w:t>
      </w:r>
    </w:p>
    <w:p>
      <w:pPr>
        <w:pStyle w:val="Normal"/>
        <w:spacing w:lineRule="exact" w:line="360" w:before="120" w:after="120"/>
        <w:ind w:firstLine="720"/>
        <w:jc w:val="both"/>
        <w:rPr>
          <w:color w:themeColor="text1" w:val="000000"/>
          <w:sz w:val="28"/>
          <w:szCs w:val="28"/>
        </w:rPr>
      </w:pPr>
      <w:r>
        <w:rPr>
          <w:color w:themeColor="text1" w:val="000000"/>
          <w:sz w:val="28"/>
          <w:szCs w:val="28"/>
        </w:rPr>
        <w:t>e) Phương án bảo đảm an toàn, giảm thiểu tác động tiêu cực từ hoạt động tác động vào thời tiết.</w:t>
      </w:r>
    </w:p>
    <w:p>
      <w:pPr>
        <w:pStyle w:val="Normal"/>
        <w:spacing w:lineRule="exact" w:line="360" w:before="120" w:after="120"/>
        <w:ind w:firstLine="720"/>
        <w:jc w:val="both"/>
        <w:rPr>
          <w:color w:themeColor="text1" w:val="000000"/>
          <w:sz w:val="28"/>
          <w:szCs w:val="28"/>
          <w:lang w:val="en-US"/>
        </w:rPr>
      </w:pPr>
      <w:r>
        <w:rPr>
          <w:color w:themeColor="text1" w:val="000000"/>
          <w:sz w:val="28"/>
          <w:szCs w:val="28"/>
        </w:rPr>
        <w:t>4. Bộ trưởng Bộ Nông nghiệp và Môi trường quy định chi tiết các khoản 1 và 2 Điều này.”.</w:t>
      </w:r>
    </w:p>
    <w:p>
      <w:pPr>
        <w:pStyle w:val="ListParagraph"/>
        <w:widowControl w:val="false"/>
        <w:numPr>
          <w:ilvl w:val="0"/>
          <w:numId w:val="8"/>
        </w:numPr>
        <w:tabs>
          <w:tab w:val="clear" w:pos="170"/>
          <w:tab w:val="left" w:pos="1276" w:leader="none"/>
          <w:tab w:val="left" w:pos="1560" w:leader="none"/>
          <w:tab w:val="left" w:pos="1701" w:leader="none"/>
        </w:tabs>
        <w:suppressAutoHyphens w:val="false"/>
        <w:spacing w:lineRule="exact" w:line="360" w:before="120" w:after="120"/>
        <w:contextualSpacing w:val="false"/>
        <w:jc w:val="both"/>
        <w:outlineLvl w:val="0"/>
        <w:rPr>
          <w:rFonts w:ascii="Aptos Display" w:hAnsi="Aptos Display" w:eastAsia="Times New Roman" w:cs="Aptos Display" w:asciiTheme="majorHAnsi" w:cstheme="majorHAnsi" w:hAnsiTheme="majorHAnsi"/>
          <w:color w:themeColor="text1" w:val="000000"/>
          <w:sz w:val="28"/>
          <w:szCs w:val="28"/>
        </w:rPr>
      </w:pPr>
      <w:r>
        <w:rPr>
          <w:rFonts w:eastAsia="Times New Roman" w:cs="Aptos Display" w:ascii="Aptos Display" w:hAnsi="Aptos Display" w:asciiTheme="majorHAnsi" w:cstheme="majorHAnsi" w:hAnsiTheme="majorHAnsi"/>
          <w:color w:themeColor="text1" w:val="000000"/>
          <w:sz w:val="28"/>
          <w:szCs w:val="28"/>
        </w:rPr>
        <w:t xml:space="preserve">Sửa đổi, bổ sung khoản 12 Điều 51 như sau: </w:t>
      </w:r>
    </w:p>
    <w:p>
      <w:pPr>
        <w:pStyle w:val="Normal"/>
        <w:spacing w:lineRule="exact" w:line="360" w:before="120" w:after="120"/>
        <w:ind w:firstLine="720"/>
        <w:jc w:val="both"/>
        <w:rPr>
          <w:color w:themeColor="text1" w:val="000000"/>
          <w:sz w:val="28"/>
          <w:szCs w:val="28"/>
        </w:rPr>
      </w:pPr>
      <w:r>
        <w:rPr>
          <w:color w:themeColor="text1" w:val="000000"/>
          <w:sz w:val="28"/>
          <w:szCs w:val="28"/>
        </w:rPr>
        <w:t>“</w:t>
      </w:r>
      <w:r>
        <w:rPr>
          <w:color w:themeColor="text1" w:val="000000"/>
          <w:sz w:val="28"/>
          <w:szCs w:val="28"/>
        </w:rPr>
        <w:t>12. Tổ chức giám sát việc thực hiện kế hoạch tác động vào thời tiết theo thẩm quyền.”.</w:t>
      </w:r>
    </w:p>
    <w:p>
      <w:pPr>
        <w:pStyle w:val="ListParagraph"/>
        <w:widowControl w:val="false"/>
        <w:numPr>
          <w:ilvl w:val="0"/>
          <w:numId w:val="8"/>
        </w:numPr>
        <w:tabs>
          <w:tab w:val="clear" w:pos="170"/>
          <w:tab w:val="left" w:pos="1276" w:leader="none"/>
          <w:tab w:val="left" w:pos="1560" w:leader="none"/>
          <w:tab w:val="left" w:pos="1701" w:leader="none"/>
        </w:tabs>
        <w:suppressAutoHyphens w:val="false"/>
        <w:spacing w:lineRule="exact" w:line="360" w:before="120" w:after="120"/>
        <w:contextualSpacing w:val="false"/>
        <w:jc w:val="both"/>
        <w:outlineLvl w:val="0"/>
        <w:rPr>
          <w:rFonts w:ascii="Aptos Display" w:hAnsi="Aptos Display" w:eastAsia="Times New Roman" w:cs="Aptos Display" w:asciiTheme="majorHAnsi" w:cstheme="majorHAnsi" w:hAnsiTheme="majorHAnsi"/>
          <w:color w:themeColor="text1" w:val="000000"/>
          <w:sz w:val="28"/>
          <w:szCs w:val="28"/>
        </w:rPr>
      </w:pPr>
      <w:r>
        <w:rPr>
          <w:rFonts w:eastAsia="Times New Roman" w:cs="Aptos Display" w:ascii="Aptos Display" w:hAnsi="Aptos Display" w:asciiTheme="majorHAnsi" w:cstheme="majorHAnsi" w:hAnsiTheme="majorHAnsi"/>
          <w:color w:themeColor="text1" w:val="000000"/>
          <w:sz w:val="28"/>
          <w:szCs w:val="28"/>
        </w:rPr>
        <w:t xml:space="preserve">Sửa đổi, bổ sung điểm i1 khoản 1 Điều 53 như sau: </w:t>
      </w:r>
    </w:p>
    <w:p>
      <w:pPr>
        <w:pStyle w:val="Normal"/>
        <w:spacing w:lineRule="exact" w:line="360" w:before="120" w:after="120"/>
        <w:ind w:firstLine="720"/>
        <w:jc w:val="both"/>
        <w:rPr>
          <w:color w:themeColor="text1" w:val="000000"/>
          <w:sz w:val="28"/>
          <w:szCs w:val="28"/>
        </w:rPr>
      </w:pPr>
      <w:r>
        <w:rPr>
          <w:color w:themeColor="text1" w:val="000000"/>
          <w:sz w:val="28"/>
          <w:szCs w:val="28"/>
        </w:rPr>
        <w:t>“</w:t>
      </w:r>
      <w:r>
        <w:rPr>
          <w:color w:themeColor="text1" w:val="000000"/>
          <w:sz w:val="28"/>
          <w:szCs w:val="28"/>
        </w:rPr>
        <w:t xml:space="preserve">i1. Tổ chức theo dõi việc thực hiện kế hoạch tác động vào thời tiết thuộc phạm vi quản lý của tỉnh;”. </w:t>
      </w:r>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0"/>
        <w:rPr>
          <w:rStyle w:val="Strong"/>
          <w:rFonts w:ascii="Aptos Display" w:hAnsi="Aptos Display" w:cs="Aptos Display" w:asciiTheme="majorHAnsi" w:cstheme="majorHAnsi" w:hAnsiTheme="majorHAnsi"/>
          <w:b w:val="false"/>
          <w:color w:themeColor="text1" w:val="000000"/>
          <w:spacing w:val="-2"/>
          <w:sz w:val="28"/>
          <w:szCs w:val="28"/>
        </w:rPr>
      </w:pPr>
      <w:r>
        <w:rPr>
          <w:rFonts w:eastAsia="Times New Roman" w:cs="Aptos Display" w:ascii="Aptos Display" w:hAnsi="Aptos Display" w:asciiTheme="majorHAnsi" w:cstheme="majorHAnsi" w:hAnsiTheme="majorHAnsi"/>
          <w:b/>
          <w:bCs/>
          <w:color w:themeColor="text1" w:val="000000"/>
          <w:sz w:val="28"/>
          <w:szCs w:val="28"/>
        </w:rPr>
        <w:t xml:space="preserve"> </w:t>
      </w:r>
      <w:bookmarkStart w:id="13" w:name="_Hlk230960851"/>
      <w:r>
        <w:rPr>
          <w:rFonts w:eastAsia="Times New Roman" w:cs="Aptos Display" w:ascii="Aptos Display" w:hAnsi="Aptos Display" w:asciiTheme="majorHAnsi" w:cstheme="majorHAnsi" w:hAnsiTheme="majorHAnsi"/>
          <w:b/>
          <w:bCs/>
          <w:color w:themeColor="text1" w:val="000000"/>
          <w:sz w:val="28"/>
          <w:szCs w:val="28"/>
        </w:rPr>
        <w:t>Sửa đổi, bổ sung một số điều của Luật Tài nguyên nước</w:t>
      </w:r>
      <w:r>
        <w:rPr>
          <w:rFonts w:cs="Aptos Display" w:ascii="Aptos Display" w:hAnsi="Aptos Display" w:asciiTheme="majorHAnsi" w:cstheme="majorHAnsi" w:hAnsiTheme="majorHAnsi"/>
          <w:color w:themeColor="text1" w:val="000000"/>
          <w:sz w:val="28"/>
          <w:szCs w:val="28"/>
        </w:rPr>
        <w:t xml:space="preserve"> </w:t>
      </w:r>
      <w:bookmarkEnd w:id="13"/>
    </w:p>
    <w:p>
      <w:pPr>
        <w:pStyle w:val="ListParagraph"/>
        <w:widowControl w:val="false"/>
        <w:numPr>
          <w:ilvl w:val="0"/>
          <w:numId w:val="3"/>
        </w:numPr>
        <w:tabs>
          <w:tab w:val="clear" w:pos="170"/>
          <w:tab w:val="left" w:pos="993" w:leader="none"/>
          <w:tab w:val="left" w:pos="1134" w:leader="none"/>
        </w:tabs>
        <w:suppressAutoHyphens w:val="false"/>
        <w:spacing w:lineRule="exact" w:line="360" w:before="120" w:after="120"/>
        <w:ind w:firstLine="709" w:left="0"/>
        <w:contextualSpacing w:val="false"/>
        <w:jc w:val="both"/>
        <w:outlineLvl w:val="1"/>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Sửa đổi, bổ sung Điều 37 như sau:</w:t>
      </w:r>
    </w:p>
    <w:p>
      <w:pPr>
        <w:pStyle w:val="Normal"/>
        <w:spacing w:lineRule="exact" w:line="360" w:before="120" w:after="120"/>
        <w:ind w:firstLine="720"/>
        <w:jc w:val="both"/>
        <w:rPr>
          <w:b/>
          <w:bCs/>
          <w:color w:themeColor="text1" w:val="000000"/>
          <w:sz w:val="28"/>
          <w:szCs w:val="28"/>
        </w:rPr>
      </w:pPr>
      <w:r>
        <w:rPr>
          <w:b/>
          <w:bCs/>
          <w:color w:themeColor="text1" w:val="000000"/>
          <w:sz w:val="28"/>
          <w:szCs w:val="28"/>
        </w:rPr>
        <w:t>“</w:t>
      </w:r>
      <w:r>
        <w:rPr>
          <w:b/>
          <w:bCs/>
          <w:color w:themeColor="text1" w:val="000000"/>
          <w:sz w:val="28"/>
          <w:szCs w:val="28"/>
        </w:rPr>
        <w:t>Điều 37. Chuyển nước lưu vực sông</w:t>
      </w:r>
    </w:p>
    <w:p>
      <w:pPr>
        <w:pStyle w:val="Normal"/>
        <w:spacing w:lineRule="exact" w:line="360" w:before="120" w:after="120"/>
        <w:ind w:firstLine="720"/>
        <w:jc w:val="both"/>
        <w:rPr>
          <w:color w:themeColor="text1" w:val="000000"/>
          <w:sz w:val="28"/>
          <w:szCs w:val="28"/>
        </w:rPr>
      </w:pPr>
      <w:r>
        <w:rPr>
          <w:color w:themeColor="text1" w:val="000000"/>
          <w:sz w:val="28"/>
          <w:szCs w:val="28"/>
        </w:rPr>
        <w:t xml:space="preserve">Các dự án có hoạt động chuyển nước ra khỏi lưu vực sông phải đảm bảo các nội dung sau: </w:t>
      </w:r>
    </w:p>
    <w:p>
      <w:pPr>
        <w:pStyle w:val="Normal"/>
        <w:spacing w:lineRule="exact" w:line="360" w:before="120" w:after="120"/>
        <w:ind w:firstLine="720"/>
        <w:jc w:val="both"/>
        <w:rPr>
          <w:color w:themeColor="text1" w:val="000000"/>
          <w:sz w:val="28"/>
          <w:szCs w:val="28"/>
        </w:rPr>
      </w:pPr>
      <w:r>
        <w:rPr>
          <w:color w:themeColor="text1" w:val="000000"/>
          <w:sz w:val="28"/>
          <w:szCs w:val="28"/>
        </w:rPr>
        <w:t>1. Phù hợp với quy hoạch về tài nguyên nước, quy hoạch tỉnh và quy hoạch khác có liên quan; phù hợp với kế hoạch phát triển kinh tế - xã hội của địa phương và các ngành liên quan đến khai thác, sử dụng tài nguyên nước trên các lưu vực sông; phù hợp với khả năng đáp ứng của nguồn nước bị chuyển nước, nhu cầu sử dụng nước của lưu vực sông bị chuyển nước và lưu vực nhận nước.</w:t>
      </w:r>
    </w:p>
    <w:p>
      <w:pPr>
        <w:pStyle w:val="Normal"/>
        <w:spacing w:lineRule="exact" w:line="360" w:before="120" w:after="120"/>
        <w:ind w:firstLine="720"/>
        <w:jc w:val="both"/>
        <w:rPr>
          <w:color w:themeColor="text1" w:val="000000"/>
          <w:sz w:val="28"/>
          <w:szCs w:val="28"/>
        </w:rPr>
      </w:pPr>
      <w:r>
        <w:rPr>
          <w:color w:themeColor="text1" w:val="000000"/>
          <w:sz w:val="28"/>
          <w:szCs w:val="28"/>
        </w:rPr>
        <w:t>2. Phải có biện pháp giảm thiểu tác động ảnh hưởng đến việc khác thác, sử dụng nước của các cơ quan, tổ chức khác có liên quan trong quá trình xây dựng và vận hành</w:t>
      </w:r>
      <w:r>
        <w:rPr>
          <w:color w:themeColor="text1" w:val="000000"/>
          <w:sz w:val="28"/>
          <w:szCs w:val="28"/>
          <w:lang w:val="en-US"/>
        </w:rPr>
        <w:t xml:space="preserve">; </w:t>
      </w:r>
      <w:r>
        <w:rPr>
          <w:color w:themeColor="text1" w:val="000000"/>
          <w:sz w:val="28"/>
          <w:szCs w:val="28"/>
        </w:rPr>
        <w:t>không gây ngập lụt, xói lở lòng, bờ, bãi sông, xâm nhập mặn, sa mạc hóa hoặc các tác động bất lợi khác đến nguồn nước, môi trường, hệ sinh thái và đời sống dân cư, đặc biệt trong mùa khô của đoạn sông, suối bị chuyển nước, nhận nước phía hạ lưu công trình chuyển nước.”.</w:t>
      </w:r>
    </w:p>
    <w:p>
      <w:pPr>
        <w:pStyle w:val="ListParagraph"/>
        <w:widowControl w:val="false"/>
        <w:numPr>
          <w:ilvl w:val="0"/>
          <w:numId w:val="3"/>
        </w:numPr>
        <w:tabs>
          <w:tab w:val="clear" w:pos="170"/>
          <w:tab w:val="left" w:pos="993" w:leader="none"/>
          <w:tab w:val="left" w:pos="1134" w:leader="none"/>
        </w:tabs>
        <w:suppressAutoHyphens w:val="false"/>
        <w:spacing w:lineRule="exact" w:line="360" w:before="120" w:after="120"/>
        <w:ind w:firstLine="709" w:left="0"/>
        <w:contextualSpacing w:val="false"/>
        <w:jc w:val="both"/>
        <w:outlineLvl w:val="1"/>
        <w:rPr>
          <w:rFonts w:ascii="Aptos Display" w:hAnsi="Aptos Display" w:cs="Aptos Display" w:asciiTheme="majorHAnsi" w:cstheme="majorHAnsi" w:hAnsiTheme="majorHAnsi"/>
          <w:color w:themeColor="text1" w:val="000000"/>
          <w:spacing w:val="-4"/>
          <w:sz w:val="28"/>
          <w:szCs w:val="28"/>
        </w:rPr>
      </w:pPr>
      <w:r>
        <w:rPr>
          <w:rFonts w:cs="Aptos Display" w:ascii="Aptos Display" w:hAnsi="Aptos Display" w:asciiTheme="majorHAnsi" w:cstheme="majorHAnsi" w:hAnsiTheme="majorHAnsi"/>
          <w:color w:themeColor="text1" w:val="000000"/>
          <w:spacing w:val="-4"/>
          <w:sz w:val="28"/>
          <w:szCs w:val="28"/>
        </w:rPr>
        <w:t>Sửa đổi, bổ sung khoản 7 và khoản 8 Điều 38</w:t>
      </w:r>
      <w:r>
        <w:rPr>
          <w:rFonts w:cs="Aptos Display" w:ascii="Aptos Display" w:hAnsi="Aptos Display" w:asciiTheme="majorHAnsi" w:cstheme="majorHAnsi" w:hAnsiTheme="majorHAnsi"/>
          <w:b/>
          <w:bCs/>
          <w:i/>
          <w:iCs/>
          <w:color w:themeColor="text1" w:val="000000"/>
          <w:spacing w:val="-4"/>
          <w:sz w:val="28"/>
          <w:szCs w:val="28"/>
        </w:rPr>
        <w:t xml:space="preserve"> </w:t>
      </w:r>
      <w:r>
        <w:rPr>
          <w:rFonts w:cs="Aptos Display" w:ascii="Aptos Display" w:hAnsi="Aptos Display" w:asciiTheme="majorHAnsi" w:cstheme="majorHAnsi" w:hAnsiTheme="majorHAnsi"/>
          <w:color w:themeColor="text1" w:val="000000"/>
          <w:spacing w:val="-4"/>
          <w:sz w:val="28"/>
          <w:szCs w:val="28"/>
        </w:rPr>
        <w:t>như sau:</w:t>
      </w:r>
    </w:p>
    <w:p>
      <w:pPr>
        <w:pStyle w:val="Normal"/>
        <w:spacing w:lineRule="exact" w:line="360" w:before="120" w:after="120"/>
        <w:ind w:firstLine="720"/>
        <w:jc w:val="both"/>
        <w:rPr>
          <w:color w:themeColor="text1" w:val="000000"/>
          <w:sz w:val="28"/>
          <w:szCs w:val="28"/>
        </w:rPr>
      </w:pPr>
      <w:r>
        <w:rPr>
          <w:color w:themeColor="text1" w:val="000000"/>
          <w:sz w:val="28"/>
          <w:szCs w:val="28"/>
        </w:rPr>
        <w:t>“</w:t>
      </w:r>
      <w:r>
        <w:rPr>
          <w:color w:themeColor="text1" w:val="000000"/>
          <w:sz w:val="28"/>
          <w:szCs w:val="28"/>
        </w:rPr>
        <w:t>7. Trách nhiệm xây dựng quy trình vận hành hồ chứa, liên hồ chứa được quy định như sau:</w:t>
      </w:r>
    </w:p>
    <w:p>
      <w:pPr>
        <w:pStyle w:val="Normal"/>
        <w:spacing w:lineRule="exact" w:line="360" w:before="120" w:after="120"/>
        <w:ind w:firstLine="720"/>
        <w:jc w:val="both"/>
        <w:rPr>
          <w:color w:themeColor="text1" w:val="000000"/>
          <w:sz w:val="28"/>
          <w:szCs w:val="28"/>
        </w:rPr>
      </w:pPr>
      <w:r>
        <w:rPr>
          <w:color w:themeColor="text1" w:val="000000"/>
          <w:sz w:val="28"/>
          <w:szCs w:val="28"/>
        </w:rPr>
        <w:t>a) Bộ Nông nghiệp và Môi trường chủ trì, phối hợp với Bộ, cơ quan ngang Bộ, Ủy ban nhân dân cấp tỉnh có liên quan tổ chức xây dựng, điều chỉnh quy trình vận hành liên hồ chứa trên các lưu vực sông, trình Thủ tướng Chính phủ phê duyệt, trừ trường hợp quy định tại khoản 9a Điều này;</w:t>
      </w:r>
    </w:p>
    <w:p>
      <w:pPr>
        <w:pStyle w:val="Normal"/>
        <w:spacing w:lineRule="exact" w:line="360" w:before="120" w:after="120"/>
        <w:ind w:firstLine="720"/>
        <w:jc w:val="both"/>
        <w:rPr>
          <w:color w:themeColor="text1" w:val="000000"/>
          <w:sz w:val="28"/>
          <w:szCs w:val="28"/>
        </w:rPr>
      </w:pPr>
      <w:r>
        <w:rPr>
          <w:color w:themeColor="text1" w:val="000000"/>
          <w:sz w:val="28"/>
          <w:szCs w:val="28"/>
        </w:rPr>
        <w:t xml:space="preserve">Trường hợp Bộ, cơ quan ngang Bộ, Ủy ban nhân dân cấp tỉnh, tổ chức quản lý, vận hành đập, hồ chứa đề </w:t>
      </w:r>
      <w:r>
        <w:rPr>
          <w:color w:themeColor="text1" w:val="000000"/>
          <w:sz w:val="28"/>
          <w:szCs w:val="28"/>
          <w:lang w:val="en-US"/>
        </w:rPr>
        <w:t>xuất</w:t>
      </w:r>
      <w:r>
        <w:rPr>
          <w:color w:themeColor="text1" w:val="000000"/>
          <w:sz w:val="28"/>
          <w:szCs w:val="28"/>
        </w:rPr>
        <w:t xml:space="preserve"> điều chỉnh quy trình vận hành liên hồ chứa thì phải xây dựng phương án điều chỉnh gửi Bộ Nông nghiệp và Môi trường để xem xét, tổng hợp, lấy ý kiến Bộ Công Thương, Bộ Xây dựng và Bộ, cơ quan ngang Bộ, Ủy ban nhân dân các tỉnh có liên quan trước khi trình Thủ tướng Chính phủ phê duyệt;</w:t>
      </w:r>
    </w:p>
    <w:p>
      <w:pPr>
        <w:pStyle w:val="Ky2"/>
        <w:widowControl w:val="false"/>
        <w:spacing w:lineRule="exact" w:line="360"/>
        <w:rPr>
          <w:rStyle w:val="Ky2Char"/>
          <w:b w:val="false"/>
          <w:i w:val="false"/>
          <w:color w:themeColor="text1" w:val="000000"/>
          <w:szCs w:val="28"/>
        </w:rPr>
      </w:pPr>
      <w:r>
        <w:rPr>
          <w:rStyle w:val="Ky2Char"/>
          <w:b w:val="false"/>
          <w:i w:val="false"/>
          <w:color w:themeColor="text1" w:val="000000"/>
          <w:szCs w:val="28"/>
        </w:rPr>
        <w:t>b) Tổ chức quản lý, vận hành đập, hồ chứa có trách nhiệm lập, điều chỉnh quy trình vận hành hồ chứa, trình cơ quan có thẩm quyền phê duyệt theo quy định của pháp luật về quản lý an toàn đập, hồ chứa nước và phải phù hợp với quy trình vận hành liên hồ chứa.</w:t>
      </w:r>
    </w:p>
    <w:p>
      <w:pPr>
        <w:pStyle w:val="Ky2"/>
        <w:widowControl w:val="false"/>
        <w:spacing w:lineRule="exact" w:line="360"/>
        <w:rPr>
          <w:rStyle w:val="Ky2Char"/>
          <w:b w:val="false"/>
          <w:i w:val="false"/>
          <w:color w:themeColor="text1" w:val="000000"/>
          <w:szCs w:val="28"/>
        </w:rPr>
      </w:pPr>
      <w:r>
        <w:rPr>
          <w:rStyle w:val="Ky2Char"/>
          <w:b w:val="false"/>
          <w:i w:val="false"/>
          <w:color w:themeColor="text1" w:val="000000"/>
          <w:szCs w:val="28"/>
        </w:rPr>
        <w:t>8. Khi hạ tầng kỹ thuật bảo đảm đáp ứng các điều kiện, yêu cầu vận hành hồ chứa, liên hồ chứa theo thời gian thực, việc lập, điều chỉnh quy trình vận hành liên hồ chứa theo thời gian thực được thực hiện như sau:</w:t>
      </w:r>
    </w:p>
    <w:p>
      <w:pPr>
        <w:pStyle w:val="Ky2"/>
        <w:widowControl w:val="false"/>
        <w:spacing w:lineRule="exact" w:line="360"/>
        <w:rPr>
          <w:rStyle w:val="Ky2Char"/>
          <w:b w:val="false"/>
          <w:i w:val="false"/>
          <w:color w:themeColor="text1" w:val="000000"/>
          <w:szCs w:val="28"/>
        </w:rPr>
      </w:pPr>
      <w:r>
        <w:rPr>
          <w:rStyle w:val="Ky2Char"/>
          <w:b w:val="false"/>
          <w:i w:val="false"/>
          <w:color w:themeColor="text1" w:val="000000"/>
          <w:szCs w:val="28"/>
        </w:rPr>
        <w:t>a) Bộ Nông nghiệp và Môi trường tổ chức xây dựng quy trình hoặc điều chỉnh quy trình vận hành liên hồ chứa theo thời gian thực, trình Thủ tướng Chính phủ phê duyệt, trừ trường hợp quy định tại khoản 9a Điều này.</w:t>
      </w:r>
    </w:p>
    <w:p>
      <w:pPr>
        <w:pStyle w:val="Ky2"/>
        <w:widowControl w:val="false"/>
        <w:spacing w:lineRule="exact" w:line="360"/>
        <w:rPr>
          <w:rStyle w:val="Ky2Char"/>
          <w:b w:val="false"/>
          <w:i w:val="false"/>
          <w:color w:themeColor="text1" w:val="000000"/>
          <w:szCs w:val="28"/>
        </w:rPr>
      </w:pPr>
      <w:r>
        <w:rPr>
          <w:rStyle w:val="Ky2Char"/>
          <w:b w:val="false"/>
          <w:i w:val="false"/>
          <w:color w:themeColor="text1" w:val="000000"/>
          <w:szCs w:val="28"/>
        </w:rPr>
        <w:t>Trường hợp các Bộ, cơ quan ngang Bộ, Ủy ban nhân dân cấp tỉnh, tổ chức quản lý, vận hành đập, hồ chứa đề xuất điều chỉnh quy trình vận hành liên hồ chứa theo thời gian thực thì xây dựng phương án điều chỉnh gửi Bộ Nông nghiệp và Môi trường để xem xét, tổng hợp, lấy ý kiến Bộ Công Thương, Bộ Xây dựng và Bộ, cơ quan ngang Bộ, Ủy ban nhân dân các tỉnh có liên quan trước khi trình Thủ tướng Chính phủ phê duyệt;</w:t>
      </w:r>
    </w:p>
    <w:p>
      <w:pPr>
        <w:pStyle w:val="Ky2"/>
        <w:widowControl w:val="false"/>
        <w:spacing w:lineRule="exact" w:line="360"/>
        <w:rPr>
          <w:rStyle w:val="Ky2Char"/>
          <w:b w:val="false"/>
          <w:i w:val="false"/>
          <w:color w:themeColor="text1" w:val="000000"/>
          <w:szCs w:val="28"/>
        </w:rPr>
      </w:pPr>
      <w:r>
        <w:rPr>
          <w:rStyle w:val="Ky2Char"/>
          <w:b w:val="false"/>
          <w:i w:val="false"/>
          <w:color w:themeColor="text1" w:val="000000"/>
          <w:szCs w:val="28"/>
        </w:rPr>
        <w:t>b) Bộ Nông nghiệp và Môi trường, Bộ Công Thương, Ủy ban nhân dân cấp tỉnh, trong phạm vi nhiệm vụ, quyền hạn của mình, xem xét, phê duyệt quy trình hoặc điều chỉnh quy trình vận hành hồ chứa theo thời gian thực theo đề nghị của tổ chức quản lý, vận hành đập, hồ chứa;</w:t>
      </w:r>
    </w:p>
    <w:p>
      <w:pPr>
        <w:pStyle w:val="Ky2"/>
        <w:widowControl w:val="false"/>
        <w:spacing w:lineRule="exact" w:line="360"/>
        <w:rPr>
          <w:b w:val="false"/>
          <w:i w:val="false"/>
          <w:color w:themeColor="text1" w:val="000000"/>
          <w:szCs w:val="28"/>
          <w:lang w:val="en-US"/>
        </w:rPr>
      </w:pPr>
      <w:r>
        <w:rPr>
          <w:rStyle w:val="Ky2Char"/>
          <w:b w:val="false"/>
          <w:i w:val="false"/>
          <w:color w:themeColor="text1" w:val="000000"/>
          <w:szCs w:val="28"/>
        </w:rPr>
        <w:t>c) Khuyến khích tổ chức quản lý, vận hành đập, hồ chứa xây dựng, áp dụng tiêu chuẩn, nghiên cứu, chuyển giao, ứng dụng khoa học, công nghệ tiên tiến để vận hành hồ chứa theo thời gian thực, nâng cao hiệu quả khai thác, sử dụng tài nguyên nước, bảo đảm an toàn và cấp nước cho hạ du</w:t>
      </w:r>
      <w:r>
        <w:rPr>
          <w:rStyle w:val="K1Char"/>
          <w:b w:val="false"/>
          <w:bCs/>
          <w:i w:val="false"/>
          <w:color w:themeColor="text1" w:val="000000"/>
          <w:szCs w:val="28"/>
        </w:rPr>
        <w:t>.”.</w:t>
      </w:r>
    </w:p>
    <w:p>
      <w:pPr>
        <w:pStyle w:val="ListParagraph"/>
        <w:widowControl w:val="false"/>
        <w:numPr>
          <w:ilvl w:val="0"/>
          <w:numId w:val="3"/>
        </w:numPr>
        <w:tabs>
          <w:tab w:val="clear" w:pos="170"/>
          <w:tab w:val="left" w:pos="993" w:leader="none"/>
          <w:tab w:val="left" w:pos="1134" w:leader="none"/>
        </w:tabs>
        <w:suppressAutoHyphens w:val="false"/>
        <w:spacing w:lineRule="exact" w:line="360" w:before="120" w:after="120"/>
        <w:ind w:firstLine="709" w:left="0"/>
        <w:contextualSpacing w:val="false"/>
        <w:jc w:val="both"/>
        <w:outlineLvl w:val="1"/>
        <w:rPr>
          <w:rFonts w:ascii="Aptos Display" w:hAnsi="Aptos Display" w:cs="Aptos Display" w:asciiTheme="majorHAnsi" w:cstheme="majorHAnsi" w:hAnsiTheme="majorHAnsi"/>
          <w:color w:themeColor="text1" w:val="000000"/>
          <w:spacing w:val="-4"/>
          <w:sz w:val="28"/>
          <w:szCs w:val="28"/>
        </w:rPr>
      </w:pPr>
      <w:r>
        <w:rPr>
          <w:rFonts w:cs="Aptos Display" w:ascii="Aptos Display" w:hAnsi="Aptos Display" w:asciiTheme="majorHAnsi" w:cstheme="majorHAnsi" w:hAnsiTheme="majorHAnsi"/>
          <w:color w:themeColor="text1" w:val="000000"/>
          <w:spacing w:val="-4"/>
          <w:sz w:val="28"/>
          <w:szCs w:val="28"/>
        </w:rPr>
        <w:t>Sửa đổi, bổ sung một số khoản, điểm của Điều 42 như sau:</w:t>
      </w:r>
    </w:p>
    <w:p>
      <w:pPr>
        <w:pStyle w:val="Ky2"/>
        <w:widowControl w:val="false"/>
        <w:spacing w:lineRule="exact" w:line="360"/>
        <w:rPr>
          <w:rStyle w:val="Ky2Char"/>
          <w:b w:val="false"/>
          <w:i w:val="false"/>
          <w:color w:themeColor="text1" w:val="000000"/>
          <w:szCs w:val="28"/>
          <w:lang w:val="vi-VN"/>
        </w:rPr>
      </w:pPr>
      <w:r>
        <w:rPr>
          <w:rStyle w:val="Ky2Char"/>
          <w:b w:val="false"/>
          <w:i w:val="false"/>
          <w:color w:themeColor="text1" w:val="000000"/>
          <w:szCs w:val="28"/>
          <w:lang w:val="vi-VN"/>
        </w:rPr>
        <w:t>a) Sửa đổi, bổ sung điểm g khoản 1 như sau:</w:t>
      </w:r>
    </w:p>
    <w:p>
      <w:pPr>
        <w:pStyle w:val="Ky2"/>
        <w:widowControl w:val="false"/>
        <w:spacing w:lineRule="exact" w:line="360"/>
        <w:rPr>
          <w:rStyle w:val="Ky2Char"/>
          <w:b w:val="false"/>
          <w:i w:val="false"/>
          <w:color w:themeColor="text1" w:val="000000"/>
          <w:szCs w:val="28"/>
          <w:lang w:val="vi-VN"/>
        </w:rPr>
      </w:pPr>
      <w:r>
        <w:rPr>
          <w:rStyle w:val="Ky2Char"/>
          <w:b w:val="false"/>
          <w:i w:val="false"/>
          <w:color w:themeColor="text1" w:val="000000"/>
          <w:szCs w:val="28"/>
          <w:lang w:val="vi-VN"/>
        </w:rPr>
        <w:t>“</w:t>
      </w:r>
      <w:r>
        <w:rPr>
          <w:rStyle w:val="Ky2Char"/>
          <w:b w:val="false"/>
          <w:i w:val="false"/>
          <w:color w:themeColor="text1" w:val="000000"/>
          <w:szCs w:val="28"/>
          <w:lang w:val="vi-VN"/>
        </w:rPr>
        <w:t>g) Trường hợp phải cắt, giảm lượng nước khai thác khi cơ quan nhà nước có thẩm quyền yêu cầu thì được giảm tiền cấp quyền khai thác tài nguyên nước tương ứng với số ngày và lượng nước khai thác bị cắt, giảm;”;</w:t>
      </w:r>
    </w:p>
    <w:p>
      <w:pPr>
        <w:pStyle w:val="Ky2"/>
        <w:widowControl w:val="false"/>
        <w:spacing w:lineRule="exact" w:line="360"/>
        <w:rPr>
          <w:rStyle w:val="Ky2Char"/>
          <w:b w:val="false"/>
          <w:i w:val="false"/>
          <w:color w:themeColor="text1" w:val="000000"/>
          <w:szCs w:val="28"/>
          <w:lang w:val="vi-VN"/>
        </w:rPr>
      </w:pPr>
      <w:r>
        <w:rPr>
          <w:rStyle w:val="Ky2Char"/>
          <w:b w:val="false"/>
          <w:i w:val="false"/>
          <w:color w:themeColor="text1" w:val="000000"/>
          <w:szCs w:val="28"/>
          <w:lang w:val="vi-VN"/>
        </w:rPr>
        <w:t>b) Sửa đổi, bổ sung điểm k khoản 2 như sau:</w:t>
      </w:r>
    </w:p>
    <w:p>
      <w:pPr>
        <w:pStyle w:val="Ky2"/>
        <w:widowControl w:val="false"/>
        <w:spacing w:lineRule="exact" w:line="360"/>
        <w:rPr>
          <w:rStyle w:val="Ky2Char"/>
          <w:b w:val="false"/>
          <w:i w:val="false"/>
          <w:color w:themeColor="text1" w:val="000000"/>
          <w:szCs w:val="28"/>
          <w:lang w:val="vi-VN"/>
        </w:rPr>
      </w:pPr>
      <w:r>
        <w:rPr>
          <w:rStyle w:val="Ky2Char"/>
          <w:b w:val="false"/>
          <w:i w:val="false"/>
          <w:color w:themeColor="text1" w:val="000000"/>
          <w:szCs w:val="28"/>
          <w:lang w:val="vi-VN"/>
        </w:rPr>
        <w:t>“</w:t>
      </w:r>
      <w:r>
        <w:rPr>
          <w:rStyle w:val="Ky2Char"/>
          <w:b w:val="false"/>
          <w:i w:val="false"/>
          <w:color w:themeColor="text1" w:val="000000"/>
          <w:szCs w:val="28"/>
          <w:lang w:val="vi-VN"/>
        </w:rPr>
        <w:t>k) Thực hiện đúng các nội dung quy định trong giấy phép khai thác tài nguyên nước; thông báo cho cấp có thẩm quyền cấp phép trong trường hợp có sự thay đổi về tên chủ giấy phép;”.</w:t>
      </w:r>
    </w:p>
    <w:p>
      <w:pPr>
        <w:pStyle w:val="ListParagraph"/>
        <w:widowControl w:val="false"/>
        <w:numPr>
          <w:ilvl w:val="0"/>
          <w:numId w:val="3"/>
        </w:numPr>
        <w:tabs>
          <w:tab w:val="clear" w:pos="170"/>
          <w:tab w:val="left" w:pos="993" w:leader="none"/>
          <w:tab w:val="left" w:pos="1134" w:leader="none"/>
        </w:tabs>
        <w:suppressAutoHyphens w:val="false"/>
        <w:spacing w:lineRule="exact" w:line="360" w:before="120" w:after="120"/>
        <w:ind w:firstLine="709" w:left="0"/>
        <w:contextualSpacing w:val="false"/>
        <w:jc w:val="both"/>
        <w:outlineLvl w:val="1"/>
        <w:rPr>
          <w:rFonts w:ascii="Aptos Display" w:hAnsi="Aptos Display" w:cs="Aptos Display" w:asciiTheme="majorHAnsi" w:cstheme="majorHAnsi" w:hAnsiTheme="majorHAnsi"/>
          <w:color w:themeColor="text1" w:val="000000"/>
          <w:spacing w:val="-4"/>
          <w:sz w:val="28"/>
          <w:szCs w:val="28"/>
        </w:rPr>
      </w:pPr>
      <w:r>
        <w:rPr>
          <w:rFonts w:cs="Aptos Display" w:ascii="Aptos Display" w:hAnsi="Aptos Display" w:asciiTheme="majorHAnsi" w:cstheme="majorHAnsi" w:hAnsiTheme="majorHAnsi"/>
          <w:color w:themeColor="text1" w:val="000000"/>
          <w:spacing w:val="-4"/>
          <w:sz w:val="28"/>
          <w:szCs w:val="28"/>
        </w:rPr>
        <w:t xml:space="preserve">Sửa đổi, bổ sung Điều 70 như sau: </w:t>
      </w:r>
    </w:p>
    <w:p>
      <w:pPr>
        <w:pStyle w:val="Ky2"/>
        <w:widowControl w:val="false"/>
        <w:spacing w:lineRule="exact" w:line="360"/>
        <w:rPr>
          <w:rStyle w:val="K1Char"/>
          <w:i w:val="false"/>
          <w:color w:themeColor="text1" w:val="000000"/>
          <w:szCs w:val="28"/>
        </w:rPr>
      </w:pPr>
      <w:r>
        <w:rPr>
          <w:rStyle w:val="K1Char"/>
          <w:i w:val="false"/>
          <w:color w:themeColor="text1" w:val="000000"/>
          <w:szCs w:val="28"/>
        </w:rPr>
        <w:t>“</w:t>
      </w:r>
      <w:r>
        <w:rPr>
          <w:rStyle w:val="K1Char"/>
          <w:i w:val="false"/>
          <w:color w:themeColor="text1" w:val="000000"/>
          <w:szCs w:val="28"/>
        </w:rPr>
        <w:t>Điều 70. Dịch vụ về tài nguyên nước</w:t>
      </w:r>
    </w:p>
    <w:p>
      <w:pPr>
        <w:pStyle w:val="Ky2"/>
        <w:widowControl w:val="false"/>
        <w:spacing w:lineRule="exact" w:line="360"/>
        <w:rPr>
          <w:rStyle w:val="K1Char"/>
          <w:b w:val="false"/>
          <w:bCs/>
          <w:i w:val="false"/>
          <w:color w:themeColor="text1" w:val="000000"/>
          <w:szCs w:val="28"/>
        </w:rPr>
      </w:pPr>
      <w:r>
        <w:rPr>
          <w:rStyle w:val="K1Char"/>
          <w:b w:val="false"/>
          <w:bCs/>
          <w:i w:val="false"/>
          <w:color w:themeColor="text1" w:val="000000"/>
          <w:szCs w:val="28"/>
        </w:rPr>
        <w:t xml:space="preserve">1. Các dịch vụ về tài nguyên nước bao gồm: </w:t>
      </w:r>
    </w:p>
    <w:p>
      <w:pPr>
        <w:pStyle w:val="Ky2"/>
        <w:widowControl w:val="false"/>
        <w:spacing w:lineRule="exact" w:line="360"/>
        <w:rPr>
          <w:rStyle w:val="K1Char"/>
          <w:b w:val="false"/>
          <w:bCs/>
          <w:i w:val="false"/>
          <w:color w:themeColor="text1" w:val="000000"/>
          <w:szCs w:val="28"/>
        </w:rPr>
      </w:pPr>
      <w:r>
        <w:rPr>
          <w:rStyle w:val="K1Char"/>
          <w:b w:val="false"/>
          <w:bCs/>
          <w:i w:val="false"/>
          <w:color w:themeColor="text1" w:val="000000"/>
          <w:szCs w:val="28"/>
        </w:rPr>
        <w:t>a) Dịch vụ hỗ trợ ra quyết định điều hòa, phân phối tài nguyên nước (bao gồm cả nước mặt và nước dưới đất)</w:t>
      </w:r>
      <w:r>
        <w:rPr>
          <w:b w:val="false"/>
          <w:bCs/>
          <w:i w:val="false"/>
          <w:color w:themeColor="text1" w:val="000000"/>
          <w:szCs w:val="28"/>
        </w:rPr>
        <w:t xml:space="preserve"> là d</w:t>
      </w:r>
      <w:r>
        <w:rPr>
          <w:rStyle w:val="K1Char"/>
          <w:b w:val="false"/>
          <w:bCs/>
          <w:i w:val="false"/>
          <w:color w:themeColor="text1" w:val="000000"/>
          <w:szCs w:val="28"/>
        </w:rPr>
        <w:t>ịch vụ cung cấp giải pháp hỗ trợ, tư vấn cho các cơ quan quản lý nhà nước trong việc quyết định các phương án điều phối hoạt động khai thác, sử dụng nguồn nước trên các lưu vực sông, tầng chứa nước nhằm tối ưu hóa lợi ích về kinh tế - xã hội, môi trường do nguồn nước mang lại;</w:t>
      </w:r>
    </w:p>
    <w:p>
      <w:pPr>
        <w:pStyle w:val="Ky2"/>
        <w:widowControl w:val="false"/>
        <w:spacing w:lineRule="exact" w:line="360"/>
        <w:rPr>
          <w:b w:val="false"/>
          <w:bCs/>
          <w:i w:val="false"/>
          <w:color w:themeColor="text1" w:val="000000"/>
          <w:szCs w:val="28"/>
        </w:rPr>
      </w:pPr>
      <w:r>
        <w:rPr>
          <w:rStyle w:val="K1Char"/>
          <w:b w:val="false"/>
          <w:bCs/>
          <w:i w:val="false"/>
          <w:color w:themeColor="text1" w:val="000000"/>
          <w:szCs w:val="28"/>
        </w:rPr>
        <w:t xml:space="preserve">b) Dịch vụ hỗ trợ ra quyết định vận hành </w:t>
      </w:r>
      <w:r>
        <w:rPr>
          <w:b w:val="false"/>
          <w:bCs/>
          <w:i w:val="false"/>
          <w:color w:themeColor="text1" w:val="000000"/>
          <w:szCs w:val="28"/>
        </w:rPr>
        <w:t>vận hành hồ chứa, liên hồ chứa là dịch vụ cung cấp giải pháp hỗ trợ, tư vấn cho các tổ chức, cá nhân, cơ quan quản lý nhà nước để xây dựng và đưa ra phương án vận hành hồ chứa bảo đảm các nguyên tắc, quy định của quy trình vận hành hồ chứa, liên hồ chứa, phù hợp với phương án điều hòa, phân phối; đề xuất phương án điều chỉnh quy trình vận hành hồ chứa, liên hồ chứa để khai thác nguồn nước linh hoạt, nâng cao hiệu quả điều tiết, cấp nước của các hồ chứa và hiệu quả khai thác, sử dụng nước của các công trình khai thác, sử dụng nước hạ du.</w:t>
      </w:r>
    </w:p>
    <w:p>
      <w:pPr>
        <w:pStyle w:val="Ky2"/>
        <w:widowControl w:val="false"/>
        <w:spacing w:lineRule="exact" w:line="360"/>
        <w:rPr>
          <w:b w:val="false"/>
          <w:bCs/>
          <w:i w:val="false"/>
          <w:color w:themeColor="text1" w:val="000000"/>
          <w:spacing w:val="-2"/>
          <w:szCs w:val="28"/>
        </w:rPr>
      </w:pPr>
      <w:r>
        <w:rPr>
          <w:b w:val="false"/>
          <w:bCs/>
          <w:i w:val="false"/>
          <w:color w:themeColor="text1" w:val="000000"/>
          <w:spacing w:val="-2"/>
          <w:szCs w:val="28"/>
        </w:rPr>
        <w:t xml:space="preserve">2. Sản phẩm của dịch vụ về tài nguyên nước phải đảm bảo các yêu cầu sau: </w:t>
      </w:r>
    </w:p>
    <w:p>
      <w:pPr>
        <w:pStyle w:val="Ky2"/>
        <w:widowControl w:val="false"/>
        <w:spacing w:lineRule="exact" w:line="360"/>
        <w:rPr>
          <w:b w:val="false"/>
          <w:bCs/>
          <w:i w:val="false"/>
          <w:color w:themeColor="text1" w:val="000000"/>
          <w:szCs w:val="28"/>
        </w:rPr>
      </w:pPr>
      <w:r>
        <w:rPr>
          <w:b w:val="false"/>
          <w:bCs/>
          <w:i w:val="false"/>
          <w:color w:themeColor="text1" w:val="000000"/>
          <w:szCs w:val="28"/>
        </w:rPr>
        <w:t>a) Phù hợp với quy định về điều hòa, phân phối tài nguyên nước, vận hành hồ chứa, liên hồ chứa;</w:t>
      </w:r>
    </w:p>
    <w:p>
      <w:pPr>
        <w:pStyle w:val="Ky2"/>
        <w:widowControl w:val="false"/>
        <w:spacing w:lineRule="exact" w:line="360"/>
        <w:rPr>
          <w:b w:val="false"/>
          <w:bCs/>
          <w:i w:val="false"/>
          <w:color w:themeColor="text1" w:val="000000"/>
          <w:szCs w:val="28"/>
        </w:rPr>
      </w:pPr>
      <w:r>
        <w:rPr>
          <w:b w:val="false"/>
          <w:bCs/>
          <w:i w:val="false"/>
          <w:color w:themeColor="text1" w:val="000000"/>
          <w:szCs w:val="28"/>
        </w:rPr>
        <w:t>b) Bảo đảm độ tin cậy phục vụ việc xem xét, quyết định phương án điều hòa, phân phối nguồn nước và vận hành hồ chứa, liên hồ chứa;</w:t>
      </w:r>
    </w:p>
    <w:p>
      <w:pPr>
        <w:pStyle w:val="Ky2"/>
        <w:widowControl w:val="false"/>
        <w:spacing w:lineRule="exact" w:line="360"/>
        <w:rPr>
          <w:b w:val="false"/>
          <w:bCs/>
          <w:i w:val="false"/>
          <w:color w:themeColor="text1" w:val="000000"/>
          <w:szCs w:val="28"/>
        </w:rPr>
      </w:pPr>
      <w:r>
        <w:rPr>
          <w:b w:val="false"/>
          <w:bCs/>
          <w:i w:val="false"/>
          <w:color w:themeColor="text1" w:val="000000"/>
          <w:szCs w:val="28"/>
        </w:rPr>
        <w:t>c) Thông tin, dữ liệu của sản phẩm dịch vụ được kết nối, liên thông, chia sẻ với Hệ thống thông tin, cơ sở dữ liệu tài nguyên nước quốc gia;</w:t>
      </w:r>
    </w:p>
    <w:p>
      <w:pPr>
        <w:pStyle w:val="Ky2"/>
        <w:widowControl w:val="false"/>
        <w:spacing w:lineRule="exact" w:line="360"/>
        <w:rPr>
          <w:b w:val="false"/>
          <w:bCs/>
          <w:i w:val="false"/>
          <w:color w:themeColor="text1" w:val="000000"/>
          <w:szCs w:val="28"/>
        </w:rPr>
      </w:pPr>
      <w:r>
        <w:rPr>
          <w:b w:val="false"/>
          <w:bCs/>
          <w:i w:val="false"/>
          <w:color w:themeColor="text1" w:val="000000"/>
          <w:szCs w:val="28"/>
        </w:rPr>
        <w:t>d) Việc cung cấp dịch vụ hỗ trợ ra quyết định bảo đảm kịp thời, đáp ứng yêu cầu của cơ quan, tổ chức sử dụng dịch vụ.”.</w:t>
      </w:r>
    </w:p>
    <w:p>
      <w:pPr>
        <w:pStyle w:val="ListParagraph"/>
        <w:widowControl w:val="false"/>
        <w:numPr>
          <w:ilvl w:val="0"/>
          <w:numId w:val="3"/>
        </w:numPr>
        <w:tabs>
          <w:tab w:val="clear" w:pos="170"/>
          <w:tab w:val="left" w:pos="993" w:leader="none"/>
          <w:tab w:val="left" w:pos="1134" w:leader="none"/>
        </w:tabs>
        <w:suppressAutoHyphens w:val="false"/>
        <w:spacing w:lineRule="exact" w:line="360" w:before="120" w:after="120"/>
        <w:ind w:firstLine="709" w:left="0"/>
        <w:contextualSpacing w:val="false"/>
        <w:jc w:val="both"/>
        <w:outlineLvl w:val="1"/>
        <w:rPr>
          <w:rFonts w:ascii="Aptos Display" w:hAnsi="Aptos Display" w:cs="Aptos Display" w:asciiTheme="majorHAnsi" w:cstheme="majorHAnsi" w:hAnsiTheme="majorHAnsi"/>
          <w:color w:themeColor="text1" w:val="000000"/>
          <w:spacing w:val="-4"/>
          <w:sz w:val="28"/>
          <w:szCs w:val="28"/>
        </w:rPr>
      </w:pPr>
      <w:r>
        <w:rPr>
          <w:rFonts w:cs="Aptos Display" w:ascii="Aptos Display" w:hAnsi="Aptos Display" w:asciiTheme="majorHAnsi" w:cstheme="majorHAnsi" w:hAnsiTheme="majorHAnsi"/>
          <w:color w:themeColor="text1" w:val="000000"/>
          <w:spacing w:val="-4"/>
          <w:sz w:val="28"/>
          <w:szCs w:val="28"/>
        </w:rPr>
        <w:t xml:space="preserve">Bãi bỏ một số điều, khoản, điểm và cụm từ sau đây: </w:t>
      </w:r>
    </w:p>
    <w:p>
      <w:pPr>
        <w:pStyle w:val="Ky2"/>
        <w:widowControl w:val="false"/>
        <w:spacing w:lineRule="exact" w:line="360"/>
        <w:rPr>
          <w:b w:val="false"/>
          <w:bCs/>
          <w:i w:val="false"/>
          <w:color w:themeColor="text1" w:val="000000"/>
          <w:szCs w:val="28"/>
        </w:rPr>
      </w:pPr>
      <w:r>
        <w:rPr>
          <w:b w:val="false"/>
          <w:bCs/>
          <w:i w:val="false"/>
          <w:color w:themeColor="text1" w:val="000000"/>
          <w:szCs w:val="28"/>
        </w:rPr>
        <w:t xml:space="preserve">a) Bãi bỏ điểm e khoản 1 Điều 42; </w:t>
      </w:r>
    </w:p>
    <w:p>
      <w:pPr>
        <w:pStyle w:val="Ky2"/>
        <w:widowControl w:val="false"/>
        <w:spacing w:lineRule="exact" w:line="360"/>
        <w:rPr>
          <w:b w:val="false"/>
          <w:bCs/>
          <w:i w:val="false"/>
          <w:color w:themeColor="text1" w:val="000000"/>
          <w:szCs w:val="28"/>
        </w:rPr>
      </w:pPr>
      <w:r>
        <w:rPr>
          <w:b w:val="false"/>
          <w:bCs/>
          <w:i w:val="false"/>
          <w:color w:themeColor="text1" w:val="000000"/>
          <w:szCs w:val="28"/>
        </w:rPr>
        <w:t xml:space="preserve">b) Bỏ cụm từ “, cấp lại” tại khoản 6 Điều 31 và Điều 53; </w:t>
      </w:r>
    </w:p>
    <w:p>
      <w:pPr>
        <w:pStyle w:val="Ky2"/>
        <w:widowControl w:val="false"/>
        <w:spacing w:lineRule="exact" w:line="360"/>
        <w:rPr>
          <w:b w:val="false"/>
          <w:bCs/>
          <w:i w:val="false"/>
          <w:color w:themeColor="text1" w:val="000000"/>
          <w:szCs w:val="28"/>
          <w:lang w:val="en-US"/>
        </w:rPr>
      </w:pPr>
      <w:r>
        <w:rPr>
          <w:b w:val="false"/>
          <w:bCs/>
          <w:i w:val="false"/>
          <w:color w:themeColor="text1" w:val="000000"/>
          <w:szCs w:val="28"/>
          <w:lang w:val="en-US"/>
        </w:rPr>
        <w:t>c) Bỏ cụm từ “</w:t>
      </w:r>
      <w:r>
        <w:rPr>
          <w:rStyle w:val="Ky2Char"/>
          <w:rFonts w:eastAsia="Calibri"/>
          <w:b w:val="false"/>
          <w:i w:val="false"/>
          <w:szCs w:val="28"/>
        </w:rPr>
        <w:t xml:space="preserve">có </w:t>
      </w:r>
      <w:r>
        <w:rPr>
          <w:rStyle w:val="Ky2Char"/>
          <w:b w:val="false"/>
          <w:i w:val="false"/>
          <w:szCs w:val="28"/>
        </w:rPr>
        <w:t xml:space="preserve">đủ điều kiện, năng lực” tại </w:t>
      </w:r>
      <w:r>
        <w:rPr>
          <w:rStyle w:val="Ky2Char"/>
          <w:b w:val="false"/>
          <w:i w:val="false"/>
        </w:rPr>
        <w:t>khoản 7 Điều 50;</w:t>
      </w:r>
    </w:p>
    <w:p>
      <w:pPr>
        <w:pStyle w:val="Ky2"/>
        <w:widowControl w:val="false"/>
        <w:spacing w:lineRule="exact" w:line="360"/>
        <w:rPr>
          <w:b w:val="false"/>
          <w:bCs/>
          <w:i w:val="false"/>
          <w:color w:themeColor="text1" w:val="000000"/>
          <w:szCs w:val="28"/>
          <w:lang w:val="en-US"/>
        </w:rPr>
      </w:pPr>
      <w:r>
        <w:rPr>
          <w:b w:val="false"/>
          <w:bCs/>
          <w:i w:val="false"/>
          <w:color w:themeColor="text1" w:val="000000"/>
          <w:szCs w:val="28"/>
          <w:lang w:val="en-US"/>
        </w:rPr>
        <w:t>d) Bỏ cụm từ “, tạm dừng” tại Điều 53.</w:t>
      </w:r>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0"/>
        <w:rPr>
          <w:rFonts w:ascii="Aptos Display" w:hAnsi="Aptos Display" w:eastAsia="Times New Roman" w:cs="Aptos Display" w:asciiTheme="majorHAnsi" w:cstheme="majorHAnsi" w:hAnsiTheme="majorHAnsi"/>
          <w:b/>
          <w:color w:themeColor="text1" w:val="000000"/>
          <w:sz w:val="28"/>
          <w:szCs w:val="28"/>
          <w:shd w:fill="FFFF00" w:val="clear"/>
        </w:rPr>
      </w:pPr>
      <w:r>
        <w:rPr>
          <w:rFonts w:eastAsia="Times New Roman" w:cs="Aptos Display" w:ascii="Aptos Display" w:hAnsi="Aptos Display" w:asciiTheme="majorHAnsi" w:cstheme="majorHAnsi" w:hAnsiTheme="majorHAnsi"/>
          <w:b/>
          <w:bCs/>
          <w:color w:themeColor="text1" w:val="000000"/>
          <w:sz w:val="28"/>
          <w:szCs w:val="28"/>
        </w:rPr>
        <w:t xml:space="preserve"> </w:t>
      </w:r>
      <w:bookmarkStart w:id="14" w:name="_Hlk230960866"/>
      <w:r>
        <w:rPr>
          <w:rFonts w:eastAsia="Times New Roman" w:cs="Aptos Display" w:ascii="Aptos Display" w:hAnsi="Aptos Display" w:asciiTheme="majorHAnsi" w:cstheme="majorHAnsi" w:hAnsiTheme="majorHAnsi"/>
          <w:b/>
          <w:bCs/>
          <w:color w:themeColor="text1" w:val="000000"/>
          <w:sz w:val="28"/>
          <w:szCs w:val="28"/>
        </w:rPr>
        <w:t xml:space="preserve">Sửa đổi, bổ sung một số điều của Luật Thú y </w:t>
      </w:r>
      <w:bookmarkEnd w:id="14"/>
    </w:p>
    <w:p>
      <w:pPr>
        <w:pStyle w:val="ListParagraph"/>
        <w:widowControl w:val="false"/>
        <w:numPr>
          <w:ilvl w:val="0"/>
          <w:numId w:val="6"/>
        </w:numPr>
        <w:suppressAutoHyphens w:val="false"/>
        <w:spacing w:lineRule="exact" w:line="360" w:before="120" w:after="120"/>
        <w:ind w:hanging="284" w:left="993"/>
        <w:contextualSpacing w:val="false"/>
        <w:rPr>
          <w:color w:themeColor="text1" w:val="000000"/>
          <w:sz w:val="28"/>
          <w:szCs w:val="28"/>
        </w:rPr>
      </w:pPr>
      <w:r>
        <w:rPr>
          <w:color w:themeColor="text1" w:val="000000"/>
          <w:sz w:val="28"/>
          <w:szCs w:val="28"/>
        </w:rPr>
        <w:t>Sửa đổi, bổ sung khoản 2 Điều 41 như sau:</w:t>
      </w:r>
    </w:p>
    <w:p>
      <w:pPr>
        <w:pStyle w:val="Normal"/>
        <w:widowControl w:val="false"/>
        <w:spacing w:lineRule="auto" w:line="240" w:before="120" w:after="120"/>
        <w:ind w:firstLine="680"/>
        <w:jc w:val="both"/>
        <w:rPr>
          <w:rFonts w:eastAsia="Times New Roman"/>
          <w:sz w:val="28"/>
          <w:szCs w:val="28"/>
        </w:rPr>
      </w:pPr>
      <w:r>
        <w:rPr>
          <w:rFonts w:eastAsia="Times New Roman"/>
          <w:color w:themeColor="text1" w:val="000000"/>
          <w:sz w:val="28"/>
          <w:szCs w:val="28"/>
        </w:rPr>
        <w:t>“</w:t>
      </w:r>
      <w:r>
        <w:rPr>
          <w:rFonts w:eastAsia="Times New Roman"/>
          <w:sz w:val="28"/>
          <w:szCs w:val="28"/>
        </w:rPr>
        <w:t>2. Cơ quan thực hiện kiểm dịch</w:t>
      </w:r>
    </w:p>
    <w:p>
      <w:pPr>
        <w:pStyle w:val="Normal"/>
        <w:widowControl w:val="false"/>
        <w:spacing w:lineRule="auto" w:line="240" w:before="120" w:after="120"/>
        <w:ind w:firstLine="680"/>
        <w:jc w:val="both"/>
        <w:rPr>
          <w:rFonts w:eastAsia="Times New Roman"/>
          <w:sz w:val="28"/>
          <w:szCs w:val="28"/>
        </w:rPr>
      </w:pPr>
      <w:r>
        <w:rPr>
          <w:rFonts w:eastAsia="Times New Roman"/>
          <w:sz w:val="28"/>
          <w:szCs w:val="28"/>
        </w:rPr>
        <w:t>a) Bộ Nông nghiệp và Môi trường tổ chức thực hiện kiểm dịch và cấp Giấy chứng nhận kiểm dịch theo quy định của pháp luật Việt Nam và yêu cầu của nước nhập khẩu hoặc của chủ hàng trừ trường hợp quy định tại điểm b khoản này;</w:t>
      </w:r>
    </w:p>
    <w:p>
      <w:pPr>
        <w:pStyle w:val="Normal"/>
        <w:widowControl w:val="false"/>
        <w:spacing w:lineRule="exact" w:line="360" w:before="120" w:after="120"/>
        <w:ind w:firstLine="680"/>
        <w:jc w:val="both"/>
        <w:rPr>
          <w:rFonts w:eastAsia="Times New Roman"/>
          <w:color w:themeColor="text1" w:val="000000"/>
          <w:sz w:val="28"/>
          <w:szCs w:val="28"/>
        </w:rPr>
      </w:pPr>
      <w:r>
        <w:rPr>
          <w:rFonts w:eastAsia="Times New Roman"/>
          <w:sz w:val="28"/>
          <w:szCs w:val="28"/>
        </w:rPr>
        <w:t>b) Chủ tịch Ủy ban nhân dân cấp tỉnh tổ chức thực hiện đăng ký, cấp Giấy chứng nhận kiểm dịch xuất khẩu đối với động vật trên cạn đã nhập khẩu để tham gia hội chợ, triển lãm, thi đấu thể thao, biểu diễn nghệ thuật; sản phẩm động vật trên cạn đã nhập khẩu để tham gia hội chợ, triển lãm</w:t>
      </w:r>
      <w:r>
        <w:rPr>
          <w:rFonts w:eastAsia="Times New Roman"/>
          <w:color w:themeColor="text1" w:val="000000"/>
          <w:sz w:val="28"/>
          <w:szCs w:val="28"/>
        </w:rPr>
        <w:t xml:space="preserve">.”. </w:t>
      </w:r>
    </w:p>
    <w:p>
      <w:pPr>
        <w:pStyle w:val="ListParagraph"/>
        <w:widowControl w:val="false"/>
        <w:numPr>
          <w:ilvl w:val="0"/>
          <w:numId w:val="6"/>
        </w:numPr>
        <w:suppressAutoHyphens w:val="false"/>
        <w:spacing w:lineRule="exact" w:line="360" w:before="120" w:after="120"/>
        <w:ind w:hanging="284" w:left="993"/>
        <w:contextualSpacing w:val="false"/>
        <w:rPr>
          <w:color w:themeColor="text1" w:val="000000"/>
          <w:sz w:val="28"/>
          <w:szCs w:val="28"/>
        </w:rPr>
      </w:pPr>
      <w:r>
        <w:rPr>
          <w:color w:themeColor="text1" w:val="000000"/>
          <w:sz w:val="28"/>
          <w:szCs w:val="28"/>
        </w:rPr>
        <w:t>Sửa đổi, bổ sung khoản 1, khoản 2 và khoản 3 Điều 46 như sau:</w:t>
      </w:r>
    </w:p>
    <w:p>
      <w:pPr>
        <w:pStyle w:val="Normal"/>
        <w:spacing w:lineRule="exact" w:line="360" w:before="120" w:after="120"/>
        <w:ind w:firstLine="720"/>
        <w:jc w:val="both"/>
        <w:rPr>
          <w:color w:themeColor="text1" w:val="000000"/>
          <w:sz w:val="28"/>
          <w:szCs w:val="28"/>
        </w:rPr>
      </w:pPr>
      <w:r>
        <w:rPr>
          <w:color w:themeColor="text1" w:val="000000"/>
          <w:sz w:val="28"/>
          <w:szCs w:val="28"/>
        </w:rPr>
        <w:t>“</w:t>
      </w:r>
      <w:r>
        <w:rPr>
          <w:color w:themeColor="text1" w:val="000000"/>
          <w:sz w:val="28"/>
          <w:szCs w:val="28"/>
        </w:rPr>
        <w:t>1. Tổ chức, cá nhân khi nhập khẩu động vật, sản phẩm động vật có trong Danh mục động vật, sản phẩm động vật trên cạn thuộc diện phải kiểm dịch, đăng ký kiểm dịch với cơ quan thực hiện kiểm dịch như sau:</w:t>
      </w:r>
    </w:p>
    <w:p>
      <w:pPr>
        <w:pStyle w:val="Normal"/>
        <w:spacing w:lineRule="exact" w:line="360" w:before="120" w:after="120"/>
        <w:ind w:firstLine="720"/>
        <w:jc w:val="both"/>
        <w:rPr>
          <w:color w:themeColor="text1" w:val="000000"/>
          <w:sz w:val="28"/>
          <w:szCs w:val="28"/>
        </w:rPr>
      </w:pPr>
      <w:r>
        <w:rPr>
          <w:color w:themeColor="text1" w:val="000000"/>
          <w:sz w:val="28"/>
          <w:szCs w:val="28"/>
        </w:rPr>
        <w:t>a) Bộ Nông nghiệp và Môi trường, trừ trường hợp quy định tại điểm b khoản này;</w:t>
      </w:r>
    </w:p>
    <w:p>
      <w:pPr>
        <w:pStyle w:val="Normal"/>
        <w:spacing w:lineRule="exact" w:line="360" w:before="120" w:after="120"/>
        <w:ind w:firstLine="720"/>
        <w:jc w:val="both"/>
        <w:rPr>
          <w:color w:themeColor="text1" w:val="000000"/>
          <w:sz w:val="28"/>
          <w:szCs w:val="28"/>
        </w:rPr>
      </w:pPr>
      <w:r>
        <w:rPr>
          <w:color w:themeColor="text1" w:val="000000"/>
          <w:sz w:val="28"/>
          <w:szCs w:val="28"/>
        </w:rPr>
        <w:t>b) Chủ tịch Ủy ban nhân dân cấp tỉnh đối với động vật trên cạn nhập khẩu để tham gia hội chợ, triển lãm, thi đấu thể thao, biểu diễn nghệ thuật; sản phẩm động vật trên cạn nhập khẩu để tham gia hội chợ, triển lãm.</w:t>
      </w:r>
    </w:p>
    <w:p>
      <w:pPr>
        <w:pStyle w:val="Normal"/>
        <w:spacing w:lineRule="exact" w:line="360" w:before="120" w:after="120"/>
        <w:ind w:firstLine="720"/>
        <w:jc w:val="both"/>
        <w:rPr>
          <w:color w:themeColor="text1" w:val="000000"/>
          <w:sz w:val="28"/>
          <w:szCs w:val="28"/>
        </w:rPr>
      </w:pPr>
      <w:r>
        <w:rPr>
          <w:color w:themeColor="text1" w:val="000000"/>
          <w:sz w:val="28"/>
          <w:szCs w:val="28"/>
        </w:rPr>
        <w:t>2. Căn cứ tình hình dịch bệnh, hệ thống quản lý giám sát dịch bệnh, giám sát vệ sinh thú y của nước xuất khẩu, Bộ Nông nghiệp và Môi trường có văn bản hướng dẫn tổ chức, cá nhân có liên quan thực hiện kiểm dịch động vật, sản phẩm động vật nhập khẩu đối với trường hợp quy định tại điểm a khoản 1 Điều này.</w:t>
      </w:r>
    </w:p>
    <w:p>
      <w:pPr>
        <w:pStyle w:val="Normal"/>
        <w:spacing w:lineRule="exact" w:line="360" w:before="120" w:after="120"/>
        <w:ind w:firstLine="720"/>
        <w:jc w:val="both"/>
        <w:rPr>
          <w:color w:themeColor="text1" w:val="000000"/>
          <w:sz w:val="28"/>
          <w:szCs w:val="28"/>
        </w:rPr>
      </w:pPr>
      <w:r>
        <w:rPr>
          <w:color w:themeColor="text1" w:val="000000"/>
          <w:sz w:val="28"/>
          <w:szCs w:val="28"/>
        </w:rPr>
        <w:t>Trường hợp động vật, sản phẩm động vật từ quốc gia, vùng lãnh thổ lần đầu tiên đăng ký nhập khẩu vào Việt Nam hoặc từ quốc gia, vùng lãnh thổ có nguy cơ cao về dịch bệnh phải được Bộ Nông nghiệp và Môi trường tiến hành phân tích nguy cơ theo quy định tại Điều 43 của Luật này.</w:t>
      </w:r>
    </w:p>
    <w:p>
      <w:pPr>
        <w:pStyle w:val="Normal"/>
        <w:spacing w:lineRule="exact" w:line="360" w:before="120" w:after="120"/>
        <w:ind w:firstLine="720"/>
        <w:jc w:val="both"/>
        <w:rPr>
          <w:color w:themeColor="text1" w:val="000000"/>
          <w:sz w:val="28"/>
          <w:szCs w:val="28"/>
        </w:rPr>
      </w:pPr>
      <w:r>
        <w:rPr>
          <w:color w:themeColor="text1" w:val="000000"/>
          <w:sz w:val="28"/>
          <w:szCs w:val="28"/>
        </w:rPr>
        <w:t xml:space="preserve">3. Trước khi động vật, sản phẩm động vật đến cửa khẩu nhập, tổ chức, cá nhân phải khai báo kiểm dịch với cơ quan thực hiện kiểm dịch.”. </w:t>
      </w:r>
    </w:p>
    <w:p>
      <w:pPr>
        <w:pStyle w:val="ListParagraph"/>
        <w:widowControl w:val="false"/>
        <w:numPr>
          <w:ilvl w:val="0"/>
          <w:numId w:val="6"/>
        </w:numPr>
        <w:suppressAutoHyphens w:val="false"/>
        <w:spacing w:lineRule="exact" w:line="360" w:before="120" w:after="120"/>
        <w:ind w:hanging="284" w:left="993"/>
        <w:contextualSpacing w:val="false"/>
        <w:rPr>
          <w:color w:themeColor="text1" w:val="000000"/>
          <w:sz w:val="28"/>
          <w:szCs w:val="28"/>
        </w:rPr>
      </w:pPr>
      <w:r>
        <w:rPr>
          <w:color w:themeColor="text1" w:val="000000"/>
          <w:sz w:val="28"/>
          <w:szCs w:val="28"/>
        </w:rPr>
        <w:t>Sửa đổi, bổ sung khoản 1 và khoản 2 Điều 47 như sau:</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w:t>
      </w:r>
      <w:r>
        <w:rPr>
          <w:rFonts w:eastAsia="Times New Roman"/>
          <w:color w:themeColor="text1" w:val="000000"/>
          <w:sz w:val="28"/>
          <w:szCs w:val="28"/>
        </w:rPr>
        <w:t>1. Đối với động vật nhập khẩu, cơ quan thực hiện kiểm dịch theo quy định tại khoản 1 Điều 46 Luật này thực hiện kiểm dịch như sau:</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a) Kiểm tra hồ sơ khai báo kiểm dịch, tình trạng sức khỏe của động vật; nếu hồ sơ kiểm dịch hợp lệ, động vật không có dấu hiệu mắc bệnh nguy hiểm thì xác nhận để làm thủ tục và chuyển động vật đến khu cách ly kiểm dịch hoặc đến địa điểm đã được kiểm tra, có đủ điều kiện để cách ly kiểm dịch;</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b) Giám sát động vật tại khu cách ly kiểm dịch hoặc tại địa điểm có đủ điều kiện cách ly kiểm dịch; thời gian theo dõi cách ly kiểm dịch phù hợp với từng loài động vật, từng bệnh được kiểm tra nhưng không quá 45 ngày, kể từ ngày bắt đầu cách ly kiểm dịch;</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c) Lấy mẫu kiểm tra bệnh động vật, áp dụng các biện pháp phòng bệnh bắt buộc cho động vật theo quy định;</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d) Cấp Giấy chứng nhận kiểm dịch nhập khẩu đối với động vật đạt yêu cầu vệ sinh thú y và thông báo cho cơ quan quản lý chuyên ngành thú y nơi đến;</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đ) Hướng dẫn chủ hàng thực hiện các biện pháp vệ sinh, khử trùng, tiêu độc.</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2. Đối với sản phẩm động vật nhập khẩu, cơ quan thực hiện kiểm dịch quy định tại khoản 1 Điều 46 Luật này thực hiện kiểm dịch như sau:</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a) Kiểm tra hồ sơ khai báo kiểm dịch, thực trạng hàng hóa, nếu đạt yêu cầu thì lấy mẫu kiểm tra các chỉ tiêu vệ sinh thú y theo quy định;</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b) Cấp Giấy chứng nhận kiểm dịch nhập khẩu đối với sản phẩm động vật đạt yêu cầu vệ sinh thú y và thông báo cho cơ quan quản lý chuyên ngành thú y nơi đến;</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c) Hướng dẫn chủ hàng thực hiện các biện pháp vệ sinh, khử trùng, tiêu độc.”</w:t>
      </w:r>
    </w:p>
    <w:p>
      <w:pPr>
        <w:pStyle w:val="ListParagraph"/>
        <w:widowControl w:val="false"/>
        <w:numPr>
          <w:ilvl w:val="0"/>
          <w:numId w:val="6"/>
        </w:numPr>
        <w:suppressAutoHyphens w:val="false"/>
        <w:spacing w:lineRule="exact" w:line="360" w:before="120" w:after="120"/>
        <w:ind w:firstLine="680" w:left="0"/>
        <w:contextualSpacing w:val="false"/>
        <w:jc w:val="both"/>
        <w:rPr>
          <w:color w:themeColor="text1" w:val="000000"/>
          <w:sz w:val="28"/>
          <w:szCs w:val="28"/>
        </w:rPr>
      </w:pPr>
      <w:r>
        <w:rPr>
          <w:color w:themeColor="text1" w:val="000000"/>
          <w:sz w:val="28"/>
          <w:szCs w:val="28"/>
        </w:rPr>
        <w:t xml:space="preserve">Sửa đổi, bổ sung khoản 1 Điều 52 và bổ sung khoản 4 sau khoản 3 Điều 52 như sau: </w:t>
      </w:r>
    </w:p>
    <w:p>
      <w:pPr>
        <w:pStyle w:val="ListParagraph"/>
        <w:widowControl w:val="false"/>
        <w:numPr>
          <w:ilvl w:val="0"/>
          <w:numId w:val="11"/>
        </w:numPr>
        <w:suppressAutoHyphens w:val="false"/>
        <w:spacing w:lineRule="exact" w:line="360" w:before="120" w:after="120"/>
        <w:contextualSpacing/>
        <w:rPr>
          <w:color w:themeColor="text1" w:val="000000"/>
          <w:sz w:val="28"/>
          <w:szCs w:val="28"/>
        </w:rPr>
      </w:pPr>
      <w:r>
        <w:rPr>
          <w:color w:themeColor="text1" w:val="000000"/>
          <w:sz w:val="28"/>
          <w:szCs w:val="28"/>
        </w:rPr>
        <w:t xml:space="preserve">Sửa đổi, bổ sung khoản 1 như sau: </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w:t>
      </w:r>
      <w:r>
        <w:rPr>
          <w:rFonts w:eastAsia="Times New Roman"/>
          <w:color w:themeColor="text1" w:val="000000"/>
          <w:sz w:val="28"/>
          <w:szCs w:val="28"/>
        </w:rPr>
        <w:t>1. Việc đăng ký vận chuyển mẫu bệnh phẩm được thực hiện như sau:</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a) Tổ chức, cá nhân có nhu cầu đưa vào Việt Nam, gửi ra nước ngoài mẫu bệnh phẩm động vật, sản phẩm động vật trên cạn đăng ký và gửi hồ sơ tới Cơ quan quản lý chuyên ngành thú y trung ương để được phép vận chuyển;</w:t>
      </w:r>
    </w:p>
    <w:p>
      <w:pPr>
        <w:pStyle w:val="Normal"/>
        <w:widowControl w:val="false"/>
        <w:pBdr/>
        <w:spacing w:lineRule="exact" w:line="360" w:before="120" w:after="120"/>
        <w:ind w:firstLine="680"/>
        <w:jc w:val="both"/>
        <w:rPr>
          <w:rFonts w:eastAsia="Times New Roman"/>
          <w:color w:themeColor="text1" w:val="000000"/>
          <w:sz w:val="28"/>
          <w:szCs w:val="28"/>
        </w:rPr>
      </w:pPr>
      <w:r>
        <w:rPr>
          <w:rFonts w:eastAsia="Times New Roman"/>
          <w:color w:themeColor="text1" w:val="000000"/>
          <w:sz w:val="28"/>
          <w:szCs w:val="28"/>
        </w:rPr>
        <w:t xml:space="preserve">b) Tổ chức, cá nhân có nhu cầu nhận mẫu bệnh phẩm thủy sản từ nước ngoài gửi về Việt Nam hoặc gửi mẫu bệnh phẩm thủy sản từ Việt Nam ra nước ngoài đăng ký và gửi hồ sơ tới Chủ tịch Ủy ban nhân dân cấp tỉnh.”. </w:t>
      </w:r>
    </w:p>
    <w:p>
      <w:pPr>
        <w:pStyle w:val="ListParagraph"/>
        <w:widowControl w:val="false"/>
        <w:numPr>
          <w:ilvl w:val="0"/>
          <w:numId w:val="11"/>
        </w:numPr>
        <w:suppressAutoHyphens w:val="false"/>
        <w:spacing w:lineRule="exact" w:line="360" w:before="120" w:after="120"/>
        <w:contextualSpacing/>
        <w:rPr>
          <w:color w:themeColor="text1" w:val="000000"/>
          <w:sz w:val="28"/>
          <w:szCs w:val="28"/>
        </w:rPr>
      </w:pPr>
      <w:r>
        <w:rPr>
          <w:color w:themeColor="text1" w:val="000000"/>
          <w:sz w:val="28"/>
          <w:szCs w:val="28"/>
        </w:rPr>
        <w:t>Bổ sung khoản 4 sau khoản 3 như sau:</w:t>
      </w:r>
    </w:p>
    <w:p>
      <w:pPr>
        <w:pStyle w:val="Normal"/>
        <w:widowControl w:val="false"/>
        <w:pBdr/>
        <w:spacing w:lineRule="exact" w:line="360" w:before="120" w:after="120"/>
        <w:ind w:firstLine="680"/>
        <w:jc w:val="both"/>
        <w:rPr>
          <w:color w:themeColor="text1" w:val="000000"/>
          <w:sz w:val="28"/>
          <w:szCs w:val="28"/>
        </w:rPr>
      </w:pPr>
      <w:r>
        <w:rPr>
          <w:rFonts w:eastAsia="Times New Roman"/>
          <w:color w:themeColor="text1" w:val="000000"/>
          <w:sz w:val="28"/>
          <w:szCs w:val="28"/>
        </w:rPr>
        <w:t>“</w:t>
      </w:r>
      <w:r>
        <w:rPr>
          <w:rFonts w:eastAsia="Times New Roman"/>
          <w:sz w:val="28"/>
          <w:szCs w:val="28"/>
        </w:rPr>
        <w:t>4. Bộ trưởng Bộ Nông nghiệp và Môi trường quy định chi tiết Điều này.</w:t>
      </w:r>
      <w:r>
        <w:rPr>
          <w:color w:themeColor="text1" w:val="000000"/>
          <w:sz w:val="28"/>
          <w:szCs w:val="28"/>
        </w:rPr>
        <w:t xml:space="preserve">”. </w:t>
      </w:r>
    </w:p>
    <w:p>
      <w:pPr>
        <w:pStyle w:val="ListParagraph"/>
        <w:widowControl w:val="false"/>
        <w:numPr>
          <w:ilvl w:val="0"/>
          <w:numId w:val="6"/>
        </w:numPr>
        <w:pBdr/>
        <w:spacing w:lineRule="exact" w:line="360" w:before="120" w:after="120"/>
        <w:contextualSpacing/>
        <w:jc w:val="both"/>
        <w:rPr>
          <w:color w:themeColor="text1" w:val="000000"/>
          <w:sz w:val="28"/>
          <w:szCs w:val="28"/>
        </w:rPr>
      </w:pPr>
      <w:r>
        <w:rPr>
          <w:color w:themeColor="text1" w:val="000000"/>
          <w:sz w:val="28"/>
          <w:szCs w:val="28"/>
        </w:rPr>
        <w:t xml:space="preserve">Bổ sung khoản 1a sau khoản 1 Điều 56 như sau: </w:t>
      </w:r>
    </w:p>
    <w:p>
      <w:pPr>
        <w:pStyle w:val="Normal"/>
        <w:widowControl w:val="false"/>
        <w:pBdr/>
        <w:spacing w:lineRule="exact" w:line="360" w:before="120" w:after="120"/>
        <w:ind w:firstLine="680"/>
        <w:jc w:val="both"/>
        <w:rPr>
          <w:color w:themeColor="text1" w:val="000000"/>
          <w:sz w:val="28"/>
          <w:szCs w:val="28"/>
        </w:rPr>
      </w:pPr>
      <w:r>
        <w:rPr>
          <w:color w:themeColor="text1" w:val="000000"/>
          <w:sz w:val="28"/>
          <w:szCs w:val="28"/>
        </w:rPr>
        <w:t>“</w:t>
      </w:r>
      <w:r>
        <w:rPr>
          <w:color w:themeColor="text1" w:val="000000"/>
          <w:sz w:val="28"/>
          <w:szCs w:val="28"/>
        </w:rPr>
        <w:t>1a. Thẩm quyền kiểm dịch động vật, sản phẩm động vật thủy sản xuất khẩu không dùng làm thực phẩm:</w:t>
      </w:r>
    </w:p>
    <w:p>
      <w:pPr>
        <w:pStyle w:val="Normal"/>
        <w:widowControl w:val="false"/>
        <w:pBdr/>
        <w:spacing w:lineRule="exact" w:line="360" w:before="120" w:after="120"/>
        <w:ind w:firstLine="680"/>
        <w:jc w:val="both"/>
        <w:rPr>
          <w:color w:themeColor="text1" w:val="000000"/>
          <w:sz w:val="28"/>
          <w:szCs w:val="28"/>
        </w:rPr>
      </w:pPr>
      <w:r>
        <w:rPr>
          <w:color w:themeColor="text1" w:val="000000"/>
          <w:sz w:val="28"/>
          <w:szCs w:val="28"/>
        </w:rPr>
        <w:t>a) Bộ Nông nghiệp và Môi trường trừ trường hợp quy định tại điểm b khoản này;</w:t>
      </w:r>
    </w:p>
    <w:p>
      <w:pPr>
        <w:pStyle w:val="Normal"/>
        <w:widowControl w:val="false"/>
        <w:pBdr/>
        <w:spacing w:lineRule="exact" w:line="360" w:before="120" w:after="120"/>
        <w:ind w:firstLine="680"/>
        <w:jc w:val="both"/>
        <w:rPr>
          <w:color w:themeColor="text1" w:val="000000"/>
          <w:sz w:val="28"/>
          <w:szCs w:val="28"/>
        </w:rPr>
      </w:pPr>
      <w:r>
        <w:rPr>
          <w:color w:themeColor="text1" w:val="000000"/>
          <w:sz w:val="28"/>
          <w:szCs w:val="28"/>
        </w:rPr>
        <w:t xml:space="preserve">b) Chủ tịch Ủy ban nhân dân cấp tỉnh tổ chức thực hiện việc kiểm dịch và cấp Giấy chứng nhận kiểm dịch xuất khẩu đối với động vật, sản phẩm động vật thủy sản xuất khẩu không dùng làm thực phẩm mang theo người, gửi qua đường bưu điện.”. </w:t>
      </w:r>
    </w:p>
    <w:p>
      <w:pPr>
        <w:pStyle w:val="ListParagraph"/>
        <w:widowControl w:val="false"/>
        <w:numPr>
          <w:ilvl w:val="0"/>
          <w:numId w:val="6"/>
        </w:numPr>
        <w:pBdr/>
        <w:spacing w:lineRule="exact" w:line="360" w:before="120" w:after="120"/>
        <w:contextualSpacing/>
        <w:jc w:val="both"/>
        <w:rPr>
          <w:color w:themeColor="text1" w:val="000000"/>
          <w:sz w:val="28"/>
          <w:szCs w:val="28"/>
        </w:rPr>
      </w:pPr>
      <w:r>
        <w:rPr>
          <w:color w:themeColor="text1" w:val="000000"/>
          <w:sz w:val="28"/>
          <w:szCs w:val="28"/>
        </w:rPr>
        <w:t xml:space="preserve">Sửa đổi, bổ sung khoản 1 Điều 57 như sau: </w:t>
      </w:r>
    </w:p>
    <w:p>
      <w:pPr>
        <w:pStyle w:val="Normal"/>
        <w:widowControl w:val="false"/>
        <w:pBdr/>
        <w:spacing w:lineRule="exact" w:line="360" w:before="120" w:after="120"/>
        <w:ind w:firstLine="680"/>
        <w:jc w:val="both"/>
        <w:rPr>
          <w:color w:themeColor="text1" w:val="000000"/>
          <w:sz w:val="28"/>
          <w:szCs w:val="28"/>
        </w:rPr>
      </w:pPr>
      <w:r>
        <w:rPr>
          <w:color w:themeColor="text1" w:val="000000"/>
          <w:sz w:val="28"/>
          <w:szCs w:val="28"/>
        </w:rPr>
        <w:t>“</w:t>
      </w:r>
      <w:r>
        <w:rPr>
          <w:color w:themeColor="text1" w:val="000000"/>
          <w:sz w:val="28"/>
          <w:szCs w:val="28"/>
        </w:rPr>
        <w:t>1. Trước khi xuất khẩu động vật, sản phẩm động vật thủy sản dùng làm thực phẩm có trong Danh mục động vật, sản phẩm động vật thủy sản thuộc diện phải kiểm dịch, tổ chức, cá nhân đăng ký kiểm dịch với cơ quan sau:</w:t>
      </w:r>
    </w:p>
    <w:p>
      <w:pPr>
        <w:pStyle w:val="Normal"/>
        <w:widowControl w:val="false"/>
        <w:pBdr/>
        <w:spacing w:lineRule="exact" w:line="360" w:before="120" w:after="120"/>
        <w:ind w:firstLine="680"/>
        <w:jc w:val="both"/>
        <w:rPr>
          <w:color w:themeColor="text1" w:val="000000"/>
          <w:sz w:val="28"/>
          <w:szCs w:val="28"/>
        </w:rPr>
      </w:pPr>
      <w:r>
        <w:rPr>
          <w:color w:themeColor="text1" w:val="000000"/>
          <w:sz w:val="28"/>
          <w:szCs w:val="28"/>
        </w:rPr>
        <w:t>a) Bộ Nông nghiệp và Môi trường trừ trường hợp quy định tại điểm b khoản này;</w:t>
      </w:r>
    </w:p>
    <w:p>
      <w:pPr>
        <w:pStyle w:val="Normal"/>
        <w:widowControl w:val="false"/>
        <w:pBdr/>
        <w:spacing w:lineRule="exact" w:line="360" w:before="120" w:after="120"/>
        <w:ind w:firstLine="680"/>
        <w:jc w:val="both"/>
        <w:rPr>
          <w:color w:themeColor="text1" w:val="000000"/>
          <w:sz w:val="28"/>
          <w:szCs w:val="28"/>
        </w:rPr>
      </w:pPr>
      <w:r>
        <w:rPr>
          <w:color w:themeColor="text1" w:val="000000"/>
          <w:sz w:val="28"/>
          <w:szCs w:val="28"/>
        </w:rPr>
        <w:t>b) Chủ tịch Ủy ban nhân dân cấp tỉnh (đối với động vật, sản phẩm động vật thủy sản xuất khẩu dùng làm thực phẩm mang theo người, gửi qua đường bưu điện).”.</w:t>
      </w:r>
    </w:p>
    <w:p>
      <w:pPr>
        <w:pStyle w:val="ListParagraph"/>
        <w:widowControl w:val="false"/>
        <w:numPr>
          <w:ilvl w:val="0"/>
          <w:numId w:val="6"/>
        </w:numPr>
        <w:suppressAutoHyphens w:val="false"/>
        <w:spacing w:lineRule="exact" w:line="360" w:before="120" w:after="120"/>
        <w:ind w:hanging="284" w:left="993"/>
        <w:contextualSpacing w:val="false"/>
        <w:rPr>
          <w:color w:themeColor="text1" w:val="000000"/>
          <w:sz w:val="28"/>
          <w:szCs w:val="28"/>
        </w:rPr>
      </w:pPr>
      <w:r>
        <w:rPr>
          <w:color w:themeColor="text1" w:val="000000"/>
          <w:sz w:val="28"/>
          <w:szCs w:val="28"/>
        </w:rPr>
        <w:t>Sửa đổi, bổ sung  Điều 96 như sau:</w:t>
      </w:r>
    </w:p>
    <w:p>
      <w:pPr>
        <w:pStyle w:val="Normal"/>
        <w:spacing w:lineRule="exact" w:line="360" w:before="120" w:after="120"/>
        <w:ind w:firstLine="720"/>
        <w:jc w:val="both"/>
        <w:rPr>
          <w:rFonts w:eastAsia="Times New Roman"/>
          <w:b/>
          <w:bCs/>
          <w:color w:themeColor="text1" w:val="000000"/>
          <w:sz w:val="28"/>
          <w:szCs w:val="28"/>
        </w:rPr>
      </w:pPr>
      <w:r>
        <w:rPr>
          <w:rFonts w:eastAsia="Times New Roman"/>
          <w:color w:themeColor="text1" w:val="000000"/>
          <w:sz w:val="28"/>
          <w:szCs w:val="28"/>
        </w:rPr>
        <w:t>“</w:t>
      </w:r>
      <w:r>
        <w:rPr>
          <w:rFonts w:eastAsia="Times New Roman"/>
          <w:b/>
          <w:bCs/>
          <w:color w:themeColor="text1" w:val="000000"/>
          <w:sz w:val="28"/>
          <w:szCs w:val="28"/>
        </w:rPr>
        <w:t>Điều 96. Cấp Giấy chứng nhận đủ điều kiện sản xuất thuốc thú y</w:t>
      </w:r>
    </w:p>
    <w:p>
      <w:pPr>
        <w:pStyle w:val="Normal"/>
        <w:spacing w:lineRule="exact" w:line="360" w:before="120" w:after="120"/>
        <w:ind w:firstLine="720"/>
        <w:jc w:val="both"/>
        <w:rPr>
          <w:rFonts w:eastAsia="Times New Roman"/>
          <w:color w:themeColor="text1" w:val="000000"/>
          <w:sz w:val="28"/>
          <w:szCs w:val="28"/>
        </w:rPr>
      </w:pPr>
      <w:r>
        <w:rPr>
          <w:rFonts w:eastAsia="Times New Roman"/>
          <w:color w:themeColor="text1" w:val="000000"/>
          <w:sz w:val="28"/>
          <w:szCs w:val="28"/>
        </w:rPr>
        <w:t>1. Chủ tịch Ủy ban nhân dân cấp tỉnh cấp, cấp lại, gia hạn, thu hồi Giấy chứng nhận đủ điều kiện sản xuất thuốc thú y.</w:t>
      </w:r>
    </w:p>
    <w:p>
      <w:pPr>
        <w:pStyle w:val="Normal"/>
        <w:spacing w:lineRule="exact" w:line="360" w:before="120" w:after="120"/>
        <w:ind w:firstLine="720"/>
        <w:jc w:val="both"/>
        <w:rPr>
          <w:rFonts w:eastAsia="Times New Roman"/>
          <w:color w:themeColor="text1" w:val="000000"/>
          <w:sz w:val="28"/>
          <w:szCs w:val="28"/>
        </w:rPr>
      </w:pPr>
      <w:r>
        <w:rPr>
          <w:rFonts w:eastAsia="Times New Roman"/>
          <w:color w:themeColor="text1" w:val="000000"/>
          <w:sz w:val="28"/>
          <w:szCs w:val="28"/>
        </w:rPr>
        <w:t>2. Giấy chứng nhận đủ điều kiện sản xuất thuốc thú y bị thu hồi trong các trường hợp sau đây:</w:t>
      </w:r>
    </w:p>
    <w:p>
      <w:pPr>
        <w:pStyle w:val="Normal"/>
        <w:spacing w:lineRule="exact" w:line="360" w:before="120" w:after="120"/>
        <w:ind w:firstLine="720"/>
        <w:jc w:val="both"/>
        <w:rPr>
          <w:rFonts w:eastAsia="Times New Roman"/>
          <w:color w:themeColor="text1" w:val="000000"/>
          <w:sz w:val="28"/>
          <w:szCs w:val="28"/>
        </w:rPr>
      </w:pPr>
      <w:r>
        <w:rPr>
          <w:rFonts w:eastAsia="Times New Roman"/>
          <w:color w:themeColor="text1" w:val="000000"/>
          <w:sz w:val="28"/>
          <w:szCs w:val="28"/>
        </w:rPr>
        <w:t>a) Giấy chứng nhận đủ điều kiện sản xuất thuốc thú y bị tẩy xóa, sửa chữa nội dung;</w:t>
      </w:r>
    </w:p>
    <w:p>
      <w:pPr>
        <w:pStyle w:val="Normal"/>
        <w:spacing w:lineRule="exact" w:line="360" w:before="120" w:after="120"/>
        <w:ind w:firstLine="720"/>
        <w:jc w:val="both"/>
        <w:rPr>
          <w:rFonts w:eastAsia="Times New Roman"/>
          <w:color w:themeColor="text1" w:val="000000"/>
          <w:sz w:val="28"/>
          <w:szCs w:val="28"/>
        </w:rPr>
      </w:pPr>
      <w:r>
        <w:rPr>
          <w:rFonts w:eastAsia="Times New Roman"/>
          <w:color w:themeColor="text1" w:val="000000"/>
          <w:sz w:val="28"/>
          <w:szCs w:val="28"/>
        </w:rPr>
        <w:t>b) Không còn hoạt động sản xuất thuốc thú y;</w:t>
      </w:r>
    </w:p>
    <w:p>
      <w:pPr>
        <w:pStyle w:val="Normal"/>
        <w:spacing w:lineRule="exact" w:line="360" w:before="120" w:after="120"/>
        <w:ind w:firstLine="720"/>
        <w:jc w:val="both"/>
        <w:rPr>
          <w:rFonts w:eastAsia="Times New Roman"/>
          <w:color w:themeColor="text1" w:val="000000"/>
          <w:sz w:val="28"/>
          <w:szCs w:val="28"/>
        </w:rPr>
      </w:pPr>
      <w:r>
        <w:rPr>
          <w:rFonts w:eastAsia="Times New Roman"/>
          <w:color w:themeColor="text1" w:val="000000"/>
          <w:sz w:val="28"/>
          <w:szCs w:val="28"/>
        </w:rPr>
        <w:t>c) Có hành vi vi phạm khác mà pháp luật quy định phải thu hồi Giấy chứng nhận đủ điều kiện sản xuất thuốc thú y.</w:t>
      </w:r>
    </w:p>
    <w:p>
      <w:pPr>
        <w:pStyle w:val="ListParagraph"/>
        <w:widowControl w:val="false"/>
        <w:suppressAutoHyphens w:val="false"/>
        <w:spacing w:lineRule="exact" w:line="360" w:before="120" w:after="120"/>
        <w:ind w:firstLine="680" w:left="0"/>
        <w:contextualSpacing w:val="false"/>
        <w:jc w:val="both"/>
        <w:rPr>
          <w:color w:themeColor="text1" w:val="000000"/>
          <w:sz w:val="28"/>
          <w:szCs w:val="28"/>
        </w:rPr>
      </w:pPr>
      <w:r>
        <w:rPr>
          <w:rFonts w:eastAsia="Times New Roman"/>
          <w:color w:themeColor="text1" w:val="000000"/>
          <w:sz w:val="28"/>
          <w:szCs w:val="28"/>
        </w:rPr>
        <w:t>3. Chính phủ quy định việc cấp, cấp lại, gia hạn, thu hồi Giấy chứng nhận đủ điều kiện sản xuất thuốc thú y.”.</w:t>
      </w:r>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1"/>
        <w:rPr>
          <w:rFonts w:ascii="Aptos Display" w:hAnsi="Aptos Display" w:eastAsia="Times New Roman" w:cs="Aptos Display" w:asciiTheme="majorHAnsi" w:cstheme="majorHAnsi" w:hAnsiTheme="majorHAnsi"/>
          <w:b/>
          <w:color w:themeColor="text1" w:val="000000"/>
          <w:sz w:val="28"/>
          <w:szCs w:val="28"/>
          <w:shd w:fill="FFFF00" w:val="clear"/>
        </w:rPr>
      </w:pPr>
      <w:bookmarkStart w:id="15" w:name="_Hlk230960897"/>
      <w:r>
        <w:rPr>
          <w:rFonts w:eastAsia="Times New Roman" w:cs="Aptos Display" w:ascii="Aptos Display" w:hAnsi="Aptos Display" w:asciiTheme="majorHAnsi" w:cstheme="majorHAnsi" w:hAnsiTheme="majorHAnsi"/>
          <w:b/>
          <w:bCs/>
          <w:color w:themeColor="text1" w:val="000000"/>
          <w:sz w:val="28"/>
          <w:szCs w:val="28"/>
        </w:rPr>
        <w:t xml:space="preserve">Sửa đổi, bổ sung một số điều của Luật Thủy lợi </w:t>
      </w:r>
      <w:bookmarkEnd w:id="15"/>
    </w:p>
    <w:p>
      <w:pPr>
        <w:pStyle w:val="Normal"/>
        <w:shd w:val="clear" w:color="auto" w:fill="FFFFFF"/>
        <w:spacing w:lineRule="exact" w:line="360" w:before="120" w:after="120"/>
        <w:ind w:firstLine="720"/>
        <w:jc w:val="both"/>
        <w:textAlignment w:val="baseline"/>
        <w:rPr>
          <w:rFonts w:eastAsia="Times New Roman"/>
          <w:color w:themeColor="text1" w:val="000000"/>
          <w:sz w:val="28"/>
          <w:szCs w:val="28"/>
        </w:rPr>
      </w:pPr>
      <w:r>
        <w:rPr>
          <w:rFonts w:eastAsia="Times New Roman"/>
          <w:color w:themeColor="text1" w:val="000000"/>
          <w:sz w:val="28"/>
          <w:szCs w:val="28"/>
        </w:rPr>
        <w:t>Bỏ cụm từ “cấp lại,” tại khoản 3 Điều 44 và điểm h khoản 1 Điều 57.</w:t>
      </w:r>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0"/>
        <w:rPr>
          <w:rFonts w:ascii="Aptos Display" w:hAnsi="Aptos Display" w:eastAsia="Times New Roman" w:cs="Aptos Display" w:asciiTheme="majorHAnsi" w:cstheme="majorHAnsi" w:hAnsiTheme="majorHAnsi"/>
          <w:b/>
          <w:color w:themeColor="text1" w:val="000000"/>
          <w:sz w:val="28"/>
          <w:szCs w:val="28"/>
          <w:shd w:fill="FFFF00" w:val="clear"/>
        </w:rPr>
      </w:pPr>
      <w:bookmarkStart w:id="16" w:name="_Toc201588444"/>
      <w:r>
        <w:rPr>
          <w:rFonts w:eastAsia="Times New Roman" w:cs="Aptos Display" w:ascii="Aptos Display" w:hAnsi="Aptos Display" w:asciiTheme="majorHAnsi" w:cstheme="majorHAnsi" w:hAnsiTheme="majorHAnsi"/>
          <w:b/>
          <w:bCs/>
          <w:color w:themeColor="text1" w:val="000000"/>
          <w:sz w:val="28"/>
          <w:szCs w:val="28"/>
        </w:rPr>
        <w:t xml:space="preserve"> </w:t>
      </w:r>
      <w:bookmarkStart w:id="17" w:name="_Hlk230960910"/>
      <w:r>
        <w:rPr>
          <w:rFonts w:eastAsia="Times New Roman" w:cs="Aptos Display" w:ascii="Aptos Display" w:hAnsi="Aptos Display" w:asciiTheme="majorHAnsi" w:cstheme="majorHAnsi" w:hAnsiTheme="majorHAnsi"/>
          <w:b/>
          <w:bCs/>
          <w:color w:themeColor="text1" w:val="000000"/>
          <w:sz w:val="28"/>
          <w:szCs w:val="28"/>
        </w:rPr>
        <w:t>Sửa đổi, bổ sung một số điều của Luật Thủy sản</w:t>
      </w:r>
      <w:bookmarkStart w:id="18" w:name="_Toc201588445"/>
      <w:bookmarkEnd w:id="16"/>
      <w:bookmarkEnd w:id="17"/>
    </w:p>
    <w:p>
      <w:pPr>
        <w:pStyle w:val="Normal"/>
        <w:widowControl w:val="false"/>
        <w:numPr>
          <w:ilvl w:val="0"/>
          <w:numId w:val="0"/>
        </w:numPr>
        <w:tabs>
          <w:tab w:val="clear" w:pos="170"/>
          <w:tab w:val="left" w:pos="709" w:leader="none"/>
          <w:tab w:val="left" w:pos="1560" w:leader="none"/>
          <w:tab w:val="left" w:pos="1701" w:leader="none"/>
        </w:tabs>
        <w:suppressAutoHyphens w:val="false"/>
        <w:spacing w:lineRule="exact" w:line="360" w:before="120" w:after="120"/>
        <w:jc w:val="both"/>
        <w:outlineLvl w:val="0"/>
        <w:rPr>
          <w:rFonts w:ascii="Aptos Display" w:hAnsi="Aptos Display" w:eastAsia="Times New Roman" w:cs="Aptos Display" w:asciiTheme="majorHAnsi" w:cstheme="majorHAnsi" w:hAnsiTheme="majorHAnsi"/>
          <w:b/>
          <w:color w:themeColor="text1" w:val="000000"/>
          <w:sz w:val="28"/>
          <w:szCs w:val="28"/>
          <w:shd w:fill="FFFF00" w:val="clear"/>
        </w:rPr>
      </w:pPr>
      <w:r>
        <w:rPr>
          <w:rFonts w:cs="Aptos Display" w:ascii="Aptos Display" w:hAnsi="Aptos Display" w:asciiTheme="majorHAnsi" w:cstheme="majorHAnsi" w:hAnsiTheme="majorHAnsi"/>
          <w:bCs/>
          <w:color w:themeColor="text1" w:val="000000"/>
          <w:spacing w:val="-2"/>
          <w:sz w:val="28"/>
          <w:szCs w:val="28"/>
        </w:rPr>
        <w:tab/>
        <w:t xml:space="preserve">Bãi bỏ khoản 2 Điều 28; Điều 33; khoản 2 Điều 35; Điều 63 và Điều 64.   </w:t>
      </w:r>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0"/>
        <w:rPr>
          <w:rFonts w:ascii="Aptos Display" w:hAnsi="Aptos Display" w:eastAsia="Times New Roman" w:cs="Aptos Display" w:asciiTheme="majorHAnsi" w:cstheme="majorHAnsi" w:hAnsiTheme="majorHAnsi"/>
          <w:b/>
          <w:color w:themeColor="text1" w:val="000000"/>
          <w:sz w:val="28"/>
          <w:szCs w:val="28"/>
          <w:shd w:fill="FFFF00" w:val="clear"/>
        </w:rPr>
      </w:pPr>
      <w:bookmarkStart w:id="19" w:name="_Toc201588419"/>
      <w:bookmarkEnd w:id="18"/>
      <w:r>
        <w:rPr>
          <w:rFonts w:eastAsia="Times New Roman" w:cs="Aptos Display" w:ascii="Aptos Display" w:hAnsi="Aptos Display" w:asciiTheme="majorHAnsi" w:cstheme="majorHAnsi" w:hAnsiTheme="majorHAnsi"/>
          <w:b/>
          <w:bCs/>
          <w:color w:themeColor="text1" w:val="000000"/>
          <w:sz w:val="28"/>
          <w:szCs w:val="28"/>
        </w:rPr>
        <w:t xml:space="preserve"> </w:t>
      </w:r>
      <w:bookmarkStart w:id="20" w:name="_Hlk230960925"/>
      <w:r>
        <w:rPr>
          <w:rFonts w:eastAsia="Times New Roman" w:cs="Aptos Display" w:ascii="Aptos Display" w:hAnsi="Aptos Display" w:asciiTheme="majorHAnsi" w:cstheme="majorHAnsi" w:hAnsiTheme="majorHAnsi"/>
          <w:b/>
          <w:bCs/>
          <w:color w:themeColor="text1" w:val="000000"/>
          <w:sz w:val="28"/>
          <w:szCs w:val="28"/>
        </w:rPr>
        <w:t>Sửa đổi, bổ sung một số điều của Luật Trồng trọt</w:t>
      </w:r>
      <w:bookmarkEnd w:id="19"/>
      <w:r>
        <w:rPr>
          <w:rFonts w:eastAsia="Times New Roman" w:cs="Aptos Display" w:ascii="Aptos Display" w:hAnsi="Aptos Display" w:asciiTheme="majorHAnsi" w:cstheme="majorHAnsi" w:hAnsiTheme="majorHAnsi"/>
          <w:b/>
          <w:bCs/>
          <w:color w:themeColor="text1" w:val="000000"/>
          <w:sz w:val="28"/>
          <w:szCs w:val="28"/>
        </w:rPr>
        <w:t xml:space="preserve"> </w:t>
      </w:r>
      <w:bookmarkEnd w:id="20"/>
    </w:p>
    <w:p>
      <w:pPr>
        <w:pStyle w:val="ListParagraph"/>
        <w:numPr>
          <w:ilvl w:val="0"/>
          <w:numId w:val="9"/>
        </w:numPr>
        <w:tabs>
          <w:tab w:val="clear" w:pos="170"/>
          <w:tab w:val="left" w:pos="993" w:leader="none"/>
        </w:tabs>
        <w:spacing w:lineRule="exact" w:line="360" w:before="120" w:after="120"/>
        <w:ind w:firstLine="425" w:left="284"/>
        <w:contextualSpacing/>
        <w:jc w:val="both"/>
        <w:rPr>
          <w:color w:themeColor="text1" w:val="000000"/>
          <w:sz w:val="28"/>
          <w:szCs w:val="28"/>
        </w:rPr>
      </w:pPr>
      <w:bookmarkStart w:id="21" w:name="_Toc201588660"/>
      <w:bookmarkEnd w:id="5"/>
      <w:bookmarkEnd w:id="6"/>
      <w:bookmarkEnd w:id="7"/>
      <w:r>
        <w:rPr>
          <w:color w:themeColor="text1" w:val="000000"/>
          <w:sz w:val="28"/>
          <w:szCs w:val="28"/>
        </w:rPr>
        <w:t>Sửa đổi, bổ sung khoản</w:t>
      </w:r>
      <w:r>
        <w:rPr>
          <w:color w:themeColor="text1" w:val="000000"/>
          <w:sz w:val="28"/>
          <w:szCs w:val="28"/>
          <w:lang w:val="en-US"/>
        </w:rPr>
        <w:t xml:space="preserve"> 3</w:t>
      </w:r>
      <w:r>
        <w:rPr>
          <w:color w:themeColor="text1" w:val="000000"/>
          <w:sz w:val="28"/>
          <w:szCs w:val="28"/>
        </w:rPr>
        <w:t> </w:t>
      </w:r>
      <w:bookmarkStart w:id="22" w:name="dc_65"/>
      <w:r>
        <w:rPr>
          <w:color w:themeColor="text1" w:val="000000"/>
          <w:sz w:val="28"/>
          <w:szCs w:val="28"/>
        </w:rPr>
        <w:t>Điều 9</w:t>
      </w:r>
      <w:bookmarkEnd w:id="22"/>
      <w:r>
        <w:rPr>
          <w:color w:themeColor="text1" w:val="000000"/>
          <w:sz w:val="28"/>
          <w:szCs w:val="28"/>
        </w:rPr>
        <w:t> như sau:</w:t>
      </w:r>
    </w:p>
    <w:p>
      <w:pPr>
        <w:pStyle w:val="Normal"/>
        <w:spacing w:lineRule="exact" w:line="360" w:before="120" w:after="120"/>
        <w:ind w:firstLine="709"/>
        <w:jc w:val="both"/>
        <w:rPr>
          <w:sz w:val="28"/>
          <w:szCs w:val="28"/>
          <w:lang w:val="en-US"/>
        </w:rPr>
      </w:pPr>
      <w:r>
        <w:rPr>
          <w:sz w:val="28"/>
          <w:szCs w:val="28"/>
        </w:rPr>
        <w:t>“</w:t>
      </w:r>
      <w:r>
        <w:rPr>
          <w:sz w:val="28"/>
          <w:szCs w:val="28"/>
        </w:rPr>
        <w:t>3. Sản xuất giống cây trồng không đáp ứng điều kiện sản xuất; sản xuất phân bón không đáp ứng điều kiện sản xuất hoặc chưa được cấp giấy chứng nhận đủ điều kiện sản xuất phân bón.”</w:t>
      </w:r>
      <w:r>
        <w:rPr>
          <w:sz w:val="28"/>
          <w:szCs w:val="28"/>
          <w:lang w:val="en-US"/>
        </w:rPr>
        <w:t xml:space="preserve">. </w:t>
      </w:r>
    </w:p>
    <w:p>
      <w:pPr>
        <w:pStyle w:val="ListParagraph"/>
        <w:numPr>
          <w:ilvl w:val="0"/>
          <w:numId w:val="9"/>
        </w:numPr>
        <w:tabs>
          <w:tab w:val="clear" w:pos="170"/>
          <w:tab w:val="left" w:pos="993" w:leader="none"/>
        </w:tabs>
        <w:spacing w:lineRule="exact" w:line="360" w:before="120" w:after="120"/>
        <w:ind w:firstLine="425" w:left="284"/>
        <w:contextualSpacing/>
        <w:jc w:val="both"/>
        <w:rPr>
          <w:color w:themeColor="text1" w:val="000000"/>
          <w:sz w:val="28"/>
          <w:szCs w:val="28"/>
        </w:rPr>
      </w:pPr>
      <w:r>
        <w:rPr>
          <w:color w:themeColor="text1" w:val="000000"/>
          <w:sz w:val="28"/>
          <w:szCs w:val="28"/>
        </w:rPr>
        <w:t xml:space="preserve">Sửa đổi, bổ sung khoản 2 Điều 17 như sau: </w:t>
      </w:r>
    </w:p>
    <w:p>
      <w:pPr>
        <w:pStyle w:val="Normal"/>
        <w:ind w:firstLine="709"/>
        <w:jc w:val="both"/>
        <w:rPr>
          <w:sz w:val="28"/>
          <w:szCs w:val="28"/>
          <w:lang w:val="af-ZA"/>
        </w:rPr>
      </w:pPr>
      <w:r>
        <w:rPr>
          <w:sz w:val="28"/>
          <w:szCs w:val="28"/>
        </w:rPr>
        <w:t>“</w:t>
      </w:r>
      <w:r>
        <w:rPr>
          <w:sz w:val="28"/>
          <w:szCs w:val="28"/>
          <w:lang w:val="af-ZA"/>
        </w:rPr>
        <w:t>2. Tổ chức, cá nhân thực hiện tự công bố thông tin về giống cây trồng theo tiêu chuẩn quốc gia hoặc tiêu chuẩn cơ sở về giá trị canh tác, giá trị sử dụng bao gồm tối thiểu các thông tin sau: tên giống cây trồng, tên loài (tên tiếng việt và tên khoa học), phạm vi lưu hành, năng suất, chỉ tiêu chất lượng chính, mức độ chống chịu với các loài sâu bệnh chủ yếu, thời gian sinh trưởng, thời vụ gieo trồng.</w:t>
      </w:r>
    </w:p>
    <w:p>
      <w:pPr>
        <w:pStyle w:val="Normal"/>
        <w:ind w:firstLine="709"/>
        <w:jc w:val="both"/>
        <w:rPr>
          <w:sz w:val="28"/>
          <w:szCs w:val="28"/>
          <w:lang w:val="en-US"/>
        </w:rPr>
      </w:pPr>
      <w:r>
        <w:rPr>
          <w:sz w:val="28"/>
          <w:szCs w:val="28"/>
          <w:lang w:val="af-ZA"/>
        </w:rPr>
        <w:t>Tổ chức, cá nhân tự lưu giữ bản tự công bố lưu hành giống cây trồng và chịu trách nhiệm về tính chính xác đối với thông tin đã công bố.</w:t>
      </w:r>
      <w:r>
        <w:rPr>
          <w:sz w:val="28"/>
          <w:szCs w:val="28"/>
        </w:rPr>
        <w:t>”</w:t>
      </w:r>
      <w:r>
        <w:rPr>
          <w:sz w:val="28"/>
          <w:szCs w:val="28"/>
          <w:lang w:val="en-US"/>
        </w:rPr>
        <w:t>.</w:t>
      </w:r>
    </w:p>
    <w:p>
      <w:pPr>
        <w:pStyle w:val="ListParagraph"/>
        <w:numPr>
          <w:ilvl w:val="0"/>
          <w:numId w:val="9"/>
        </w:numPr>
        <w:tabs>
          <w:tab w:val="clear" w:pos="170"/>
          <w:tab w:val="left" w:pos="993" w:leader="none"/>
        </w:tabs>
        <w:spacing w:lineRule="exact" w:line="360" w:before="120" w:after="120"/>
        <w:ind w:firstLine="709" w:left="0"/>
        <w:contextualSpacing/>
        <w:jc w:val="both"/>
        <w:rPr>
          <w:color w:themeColor="text1" w:val="000000"/>
          <w:sz w:val="28"/>
          <w:szCs w:val="28"/>
        </w:rPr>
      </w:pPr>
      <w:bookmarkStart w:id="23" w:name="khoan_2_2"/>
      <w:r>
        <w:rPr>
          <w:color w:themeColor="text1" w:val="000000"/>
          <w:sz w:val="28"/>
          <w:szCs w:val="28"/>
          <w:lang w:val="en-US"/>
        </w:rPr>
        <w:t>B</w:t>
      </w:r>
      <w:r>
        <w:rPr>
          <w:color w:themeColor="text1" w:val="000000"/>
          <w:sz w:val="28"/>
          <w:szCs w:val="28"/>
        </w:rPr>
        <w:t>ổ sung</w:t>
      </w:r>
      <w:bookmarkStart w:id="24" w:name="dc_118"/>
      <w:bookmarkEnd w:id="23"/>
      <w:r>
        <w:rPr>
          <w:color w:themeColor="text1" w:val="000000"/>
          <w:sz w:val="28"/>
          <w:szCs w:val="28"/>
          <w:lang w:val="en-US"/>
        </w:rPr>
        <w:t xml:space="preserve"> khoản 3 sau khoản 2 </w:t>
      </w:r>
      <w:r>
        <w:rPr>
          <w:color w:themeColor="text1" w:val="000000"/>
          <w:sz w:val="28"/>
          <w:szCs w:val="28"/>
        </w:rPr>
        <w:t>Điều 1</w:t>
      </w:r>
      <w:r>
        <w:rPr>
          <w:color w:themeColor="text1" w:val="000000"/>
          <w:sz w:val="28"/>
          <w:szCs w:val="28"/>
          <w:lang w:val="en-US"/>
        </w:rPr>
        <w:t>8</w:t>
      </w:r>
      <w:r>
        <w:rPr>
          <w:color w:themeColor="text1" w:val="000000"/>
          <w:sz w:val="28"/>
          <w:szCs w:val="28"/>
        </w:rPr>
        <w:t xml:space="preserve"> như sau: </w:t>
      </w:r>
    </w:p>
    <w:p>
      <w:pPr>
        <w:pStyle w:val="Normal"/>
        <w:spacing w:lineRule="exact" w:line="360" w:before="120" w:after="120"/>
        <w:ind w:firstLine="709"/>
        <w:jc w:val="both"/>
        <w:rPr>
          <w:sz w:val="28"/>
          <w:szCs w:val="28"/>
          <w:lang w:val="en-US"/>
        </w:rPr>
      </w:pPr>
      <w:r>
        <w:rPr>
          <w:sz w:val="28"/>
          <w:szCs w:val="28"/>
        </w:rPr>
        <w:t>“</w:t>
      </w:r>
      <w:r>
        <w:rPr>
          <w:sz w:val="28"/>
          <w:szCs w:val="28"/>
          <w:lang w:val="af-ZA"/>
        </w:rPr>
        <w:t>3. Bộ trưởng Bộ Nông nghiệp và Môi trường quy định chi tiết về nội dung khảo nghiệm giống cây trồng.</w:t>
      </w:r>
      <w:r>
        <w:rPr>
          <w:sz w:val="28"/>
          <w:szCs w:val="28"/>
        </w:rPr>
        <w:t>”</w:t>
      </w:r>
      <w:r>
        <w:rPr>
          <w:sz w:val="28"/>
          <w:szCs w:val="28"/>
          <w:lang w:val="en-US"/>
        </w:rPr>
        <w:t xml:space="preserve">. </w:t>
      </w:r>
      <w:bookmarkEnd w:id="24"/>
    </w:p>
    <w:p>
      <w:pPr>
        <w:pStyle w:val="ListParagraph"/>
        <w:numPr>
          <w:ilvl w:val="0"/>
          <w:numId w:val="9"/>
        </w:numPr>
        <w:tabs>
          <w:tab w:val="clear" w:pos="170"/>
          <w:tab w:val="left" w:pos="993" w:leader="none"/>
        </w:tabs>
        <w:spacing w:lineRule="exact" w:line="360" w:before="120" w:after="120"/>
        <w:ind w:firstLine="709" w:left="0"/>
        <w:contextualSpacing/>
        <w:jc w:val="both"/>
        <w:rPr>
          <w:color w:themeColor="text1" w:val="000000"/>
          <w:sz w:val="28"/>
          <w:szCs w:val="28"/>
        </w:rPr>
      </w:pPr>
      <w:r>
        <w:rPr>
          <w:color w:themeColor="text1" w:val="000000"/>
          <w:sz w:val="28"/>
          <w:szCs w:val="28"/>
        </w:rPr>
        <w:t xml:space="preserve">Sửa đổi, bổ sung khoản </w:t>
      </w:r>
      <w:r>
        <w:rPr>
          <w:color w:themeColor="text1" w:val="000000"/>
          <w:sz w:val="28"/>
          <w:szCs w:val="28"/>
          <w:lang w:val="en-US"/>
        </w:rPr>
        <w:t>điểm a khoản 2</w:t>
      </w:r>
      <w:r>
        <w:rPr>
          <w:color w:themeColor="text1" w:val="000000"/>
          <w:sz w:val="28"/>
          <w:szCs w:val="28"/>
        </w:rPr>
        <w:t> Điều 3</w:t>
      </w:r>
      <w:r>
        <w:rPr>
          <w:color w:themeColor="text1" w:val="000000"/>
          <w:sz w:val="28"/>
          <w:szCs w:val="28"/>
          <w:lang w:val="en-US"/>
        </w:rPr>
        <w:t>4</w:t>
      </w:r>
      <w:r>
        <w:rPr>
          <w:color w:themeColor="text1" w:val="000000"/>
          <w:sz w:val="28"/>
          <w:szCs w:val="28"/>
        </w:rPr>
        <w:t> như sau:</w:t>
      </w:r>
    </w:p>
    <w:p>
      <w:pPr>
        <w:pStyle w:val="Normal"/>
        <w:spacing w:lineRule="exact" w:line="360" w:before="120" w:after="120"/>
        <w:ind w:firstLine="709"/>
        <w:jc w:val="both"/>
        <w:rPr>
          <w:sz w:val="28"/>
          <w:szCs w:val="28"/>
          <w:lang w:val="en-US"/>
        </w:rPr>
      </w:pPr>
      <w:r>
        <w:rPr>
          <w:sz w:val="28"/>
          <w:szCs w:val="28"/>
        </w:rPr>
        <w:t>“</w:t>
      </w:r>
      <w:r>
        <w:rPr>
          <w:sz w:val="28"/>
          <w:szCs w:val="28"/>
          <w:lang w:val="af-ZA"/>
        </w:rPr>
        <w:t xml:space="preserve">a) Thực hiện theo đúng quy định về khảo nghiệm </w:t>
      </w:r>
      <w:r>
        <w:rPr>
          <w:sz w:val="28"/>
          <w:szCs w:val="28"/>
          <w:lang w:val="sv-SE"/>
        </w:rPr>
        <w:t>giá trị canh tác, giá trị sử dụng; khảo nghiệm tính khác biệt, tính đồng nhất và tính ổn định của giống cây trồng</w:t>
      </w:r>
      <w:r>
        <w:rPr>
          <w:sz w:val="28"/>
          <w:szCs w:val="28"/>
          <w:lang w:val="af-ZA"/>
        </w:rPr>
        <w:t>;</w:t>
      </w:r>
      <w:r>
        <w:rPr>
          <w:sz w:val="28"/>
          <w:szCs w:val="28"/>
        </w:rPr>
        <w:t>”</w:t>
      </w:r>
      <w:r>
        <w:rPr>
          <w:sz w:val="28"/>
          <w:szCs w:val="28"/>
          <w:lang w:val="en-US"/>
        </w:rPr>
        <w:t xml:space="preserve">. </w:t>
      </w:r>
    </w:p>
    <w:p>
      <w:pPr>
        <w:pStyle w:val="ListParagraph"/>
        <w:numPr>
          <w:ilvl w:val="0"/>
          <w:numId w:val="9"/>
        </w:numPr>
        <w:tabs>
          <w:tab w:val="clear" w:pos="170"/>
          <w:tab w:val="left" w:pos="993" w:leader="none"/>
        </w:tabs>
        <w:spacing w:lineRule="exact" w:line="360" w:before="120" w:after="120"/>
        <w:ind w:firstLine="709" w:left="0"/>
        <w:contextualSpacing/>
        <w:jc w:val="both"/>
        <w:rPr>
          <w:color w:themeColor="text1" w:val="000000"/>
          <w:sz w:val="28"/>
          <w:szCs w:val="28"/>
        </w:rPr>
      </w:pPr>
      <w:r>
        <w:rPr>
          <w:color w:themeColor="text1" w:val="000000"/>
          <w:sz w:val="28"/>
          <w:szCs w:val="28"/>
        </w:rPr>
        <w:t xml:space="preserve">Sửa đổi, bổ sung khoản 2 Điều 36 như sau: </w:t>
      </w:r>
    </w:p>
    <w:p>
      <w:pPr>
        <w:pStyle w:val="ListParagraph"/>
        <w:tabs>
          <w:tab w:val="clear" w:pos="170"/>
          <w:tab w:val="left" w:pos="993" w:leader="none"/>
        </w:tabs>
        <w:spacing w:lineRule="exact" w:line="360" w:before="120" w:after="120"/>
        <w:ind w:firstLine="709" w:left="0"/>
        <w:contextualSpacing/>
        <w:jc w:val="both"/>
        <w:rPr>
          <w:color w:themeColor="text1" w:val="000000"/>
          <w:sz w:val="28"/>
          <w:szCs w:val="28"/>
        </w:rPr>
      </w:pPr>
      <w:r>
        <w:rPr>
          <w:color w:themeColor="text1" w:val="000000"/>
          <w:sz w:val="28"/>
          <w:szCs w:val="28"/>
        </w:rPr>
        <w:t>“</w:t>
      </w:r>
      <w:r>
        <w:rPr>
          <w:color w:themeColor="text1" w:val="000000"/>
          <w:sz w:val="28"/>
          <w:szCs w:val="28"/>
        </w:rPr>
        <w:t xml:space="preserve">2. Quyết định công nhận phân bón lưu hành tại Việt Nam có thời hạn là 10 năm và được gia hạn.”. </w:t>
      </w:r>
    </w:p>
    <w:p>
      <w:pPr>
        <w:pStyle w:val="ListParagraph"/>
        <w:numPr>
          <w:ilvl w:val="0"/>
          <w:numId w:val="9"/>
        </w:numPr>
        <w:tabs>
          <w:tab w:val="clear" w:pos="170"/>
          <w:tab w:val="left" w:pos="993" w:leader="none"/>
          <w:tab w:val="left" w:pos="1134" w:leader="none"/>
        </w:tabs>
        <w:spacing w:lineRule="exact" w:line="360" w:before="120" w:after="120"/>
        <w:ind w:firstLine="709" w:left="0"/>
        <w:contextualSpacing/>
        <w:jc w:val="both"/>
        <w:rPr>
          <w:color w:themeColor="text1" w:val="000000"/>
          <w:sz w:val="28"/>
          <w:szCs w:val="28"/>
        </w:rPr>
      </w:pPr>
      <w:r>
        <w:rPr>
          <w:color w:themeColor="text1" w:val="000000"/>
          <w:sz w:val="28"/>
          <w:szCs w:val="28"/>
        </w:rPr>
        <w:t>Bãi bỏ một số điều, khoản, điểm và cụm từ sau đây:</w:t>
      </w:r>
    </w:p>
    <w:p>
      <w:pPr>
        <w:pStyle w:val="Normal"/>
        <w:spacing w:lineRule="exact" w:line="360" w:before="120" w:after="120"/>
        <w:ind w:firstLine="709"/>
        <w:jc w:val="both"/>
        <w:rPr>
          <w:color w:themeColor="text1" w:val="000000"/>
          <w:sz w:val="28"/>
          <w:szCs w:val="28"/>
          <w:lang w:val="en-US"/>
        </w:rPr>
      </w:pPr>
      <w:r>
        <w:rPr>
          <w:color w:themeColor="text1" w:val="000000"/>
          <w:sz w:val="28"/>
          <w:szCs w:val="28"/>
        </w:rPr>
        <w:t xml:space="preserve">a) Bãi bỏ </w:t>
      </w:r>
      <w:r>
        <w:rPr>
          <w:color w:themeColor="text1" w:val="000000"/>
          <w:sz w:val="28"/>
          <w:szCs w:val="28"/>
          <w:lang w:val="en-US"/>
        </w:rPr>
        <w:t xml:space="preserve">khoản 1, 3 </w:t>
      </w:r>
      <w:r>
        <w:rPr>
          <w:color w:themeColor="text1" w:val="000000"/>
          <w:sz w:val="28"/>
          <w:szCs w:val="28"/>
        </w:rPr>
        <w:t>Điều 17; Điều 21; khoản 2 Điều 22; khoản 1 Điều 31; điểm b khoản 2 Điều 37; Điều 42; Điều 46; điểm a khoản 2 Điều 51;</w:t>
      </w:r>
    </w:p>
    <w:p>
      <w:pPr>
        <w:pStyle w:val="Normal"/>
        <w:suppressAutoHyphens w:val="false"/>
        <w:spacing w:lineRule="exact" w:line="360" w:before="120" w:after="120"/>
        <w:ind w:firstLine="709"/>
        <w:jc w:val="both"/>
        <w:rPr>
          <w:rFonts w:eastAsia="Aptos"/>
          <w:color w:val="000000"/>
          <w:kern w:val="2"/>
          <w:sz w:val="28"/>
          <w:szCs w:val="28"/>
          <w:lang w:val="en-US" w:eastAsia="en-US"/>
          <w14:ligatures w14:val="standardContextual"/>
        </w:rPr>
      </w:pPr>
      <w:r>
        <w:rPr>
          <w:rFonts w:eastAsia="Aptos"/>
          <w:color w:val="000000"/>
          <w:kern w:val="2"/>
          <w:sz w:val="28"/>
          <w:szCs w:val="28"/>
          <w:lang w:val="en-US" w:eastAsia="en-US"/>
          <w14:ligatures w14:val="standardContextual"/>
        </w:rPr>
        <w:t>b) Bỏ cụm từ “được công nhận đủ điều kiện” tại khoản 5 Điều 13;</w:t>
      </w:r>
    </w:p>
    <w:p>
      <w:pPr>
        <w:pStyle w:val="Normal"/>
        <w:suppressAutoHyphens w:val="false"/>
        <w:spacing w:lineRule="exact" w:line="360" w:before="120" w:after="120"/>
        <w:ind w:firstLine="709"/>
        <w:jc w:val="both"/>
        <w:rPr>
          <w:rFonts w:eastAsia="Aptos"/>
          <w:color w:val="000000"/>
          <w:kern w:val="2"/>
          <w:sz w:val="28"/>
          <w:szCs w:val="28"/>
          <w:lang w:val="en-US" w:eastAsia="en-US"/>
          <w14:ligatures w14:val="standardContextual"/>
        </w:rPr>
      </w:pPr>
      <w:r>
        <w:rPr>
          <w:rFonts w:eastAsia="Aptos"/>
          <w:color w:val="000000"/>
          <w:kern w:val="2"/>
          <w:sz w:val="28"/>
          <w:szCs w:val="28"/>
          <w:lang w:val="en-US" w:eastAsia="en-US"/>
          <w14:ligatures w14:val="standardContextual"/>
        </w:rPr>
        <w:t xml:space="preserve">c) Bỏ cụm từ “và buôn bán” tại tên mục 2 Chương III; </w:t>
      </w:r>
    </w:p>
    <w:p>
      <w:pPr>
        <w:pStyle w:val="Normal"/>
        <w:suppressAutoHyphens w:val="false"/>
        <w:spacing w:lineRule="exact" w:line="360" w:before="120" w:after="120"/>
        <w:ind w:firstLine="709"/>
        <w:jc w:val="both"/>
        <w:rPr>
          <w:rFonts w:eastAsia="Aptos"/>
          <w:color w:val="000000"/>
          <w:kern w:val="2"/>
          <w:sz w:val="28"/>
          <w:szCs w:val="28"/>
          <w:lang w:val="en-US" w:eastAsia="en-US"/>
          <w14:ligatures w14:val="standardContextual"/>
        </w:rPr>
      </w:pPr>
      <w:r>
        <w:rPr>
          <w:rFonts w:eastAsia="Aptos"/>
          <w:color w:val="000000"/>
          <w:kern w:val="2"/>
          <w:sz w:val="28"/>
          <w:szCs w:val="28"/>
          <w:lang w:val="en-US" w:eastAsia="en-US"/>
          <w14:ligatures w14:val="standardContextual"/>
        </w:rPr>
        <w:t>d) Bỏ cụm từ “, buôn bán” tại tên</w:t>
      </w:r>
      <w:r>
        <w:rPr>
          <w:rFonts w:eastAsia="Aptos"/>
          <w:color w:val="000000"/>
          <w:kern w:val="2"/>
          <w:sz w:val="28"/>
          <w:szCs w:val="28"/>
          <w:lang w:eastAsia="en-US"/>
          <w14:ligatures w14:val="standardContextual"/>
        </w:rPr>
        <w:t xml:space="preserve"> </w:t>
      </w:r>
      <w:r>
        <w:rPr>
          <w:rFonts w:eastAsia="Aptos"/>
          <w:color w:val="000000"/>
          <w:kern w:val="2"/>
          <w:sz w:val="28"/>
          <w:szCs w:val="28"/>
          <w:lang w:val="en-US" w:eastAsia="en-US"/>
          <w14:ligatures w14:val="standardContextual"/>
        </w:rPr>
        <w:t>Điều 22, khoản 1 Điều 35;</w:t>
      </w:r>
    </w:p>
    <w:p>
      <w:pPr>
        <w:pStyle w:val="ListParagraph"/>
        <w:widowControl w:val="false"/>
        <w:numPr>
          <w:ilvl w:val="0"/>
          <w:numId w:val="4"/>
        </w:numPr>
        <w:tabs>
          <w:tab w:val="clear" w:pos="170"/>
          <w:tab w:val="left" w:pos="1276" w:leader="none"/>
          <w:tab w:val="left" w:pos="1701" w:leader="none"/>
        </w:tabs>
        <w:suppressAutoHyphens w:val="false"/>
        <w:spacing w:lineRule="exact" w:line="360" w:before="120" w:after="120"/>
        <w:ind w:firstLine="709" w:left="0"/>
        <w:contextualSpacing w:val="false"/>
        <w:jc w:val="both"/>
        <w:outlineLvl w:val="0"/>
        <w:rPr>
          <w:rFonts w:ascii="Aptos Display" w:hAnsi="Aptos Display" w:eastAsia="Times New Roman" w:cs="Aptos Display" w:asciiTheme="majorHAnsi" w:cstheme="majorHAnsi" w:hAnsiTheme="majorHAnsi"/>
          <w:color w:themeColor="text1" w:val="000000"/>
          <w:sz w:val="28"/>
          <w:szCs w:val="28"/>
        </w:rPr>
      </w:pPr>
      <w:bookmarkStart w:id="25" w:name="_Hlk230960938"/>
      <w:r>
        <w:rPr>
          <w:rFonts w:eastAsia="Times New Roman" w:cs="Aptos Display" w:ascii="Aptos Display" w:hAnsi="Aptos Display" w:asciiTheme="majorHAnsi" w:cstheme="majorHAnsi" w:hAnsiTheme="majorHAnsi"/>
          <w:b/>
          <w:bCs/>
          <w:color w:themeColor="text1" w:val="000000"/>
          <w:sz w:val="28"/>
          <w:szCs w:val="28"/>
        </w:rPr>
        <w:t>Điều khoản thi hành</w:t>
      </w:r>
      <w:bookmarkEnd w:id="21"/>
      <w:bookmarkEnd w:id="25"/>
    </w:p>
    <w:p>
      <w:pPr>
        <w:pStyle w:val="Normal"/>
        <w:widowControl w:val="false"/>
        <w:suppressAutoHyphens w:val="false"/>
        <w:spacing w:lineRule="exact" w:line="360" w:before="120" w:after="120"/>
        <w:ind w:firstLine="709"/>
        <w:rPr>
          <w:rFonts w:ascii="Aptos Display" w:hAnsi="Aptos Display" w:eastAsia="Times New Roman" w:cs="Aptos Display" w:asciiTheme="majorHAnsi" w:cstheme="majorHAnsi" w:hAnsiTheme="majorHAnsi"/>
          <w:color w:themeColor="text1" w:val="000000"/>
          <w:sz w:val="28"/>
          <w:szCs w:val="28"/>
        </w:rPr>
      </w:pPr>
      <w:bookmarkStart w:id="26" w:name="_Hlk230960948"/>
      <w:r>
        <w:rPr>
          <w:rFonts w:eastAsia="Times New Roman" w:cs="Aptos Display" w:ascii="Aptos Display" w:hAnsi="Aptos Display" w:asciiTheme="majorHAnsi" w:cstheme="majorHAnsi" w:hAnsiTheme="majorHAnsi"/>
          <w:color w:themeColor="text1" w:val="000000"/>
          <w:sz w:val="28"/>
          <w:szCs w:val="28"/>
        </w:rPr>
        <w:t>Luật này có hiệu lực thi hành từ ngày 01 tháng 01 năm 2027.</w:t>
      </w:r>
      <w:bookmarkEnd w:id="26"/>
    </w:p>
    <w:p>
      <w:pPr>
        <w:pStyle w:val="ListParagraph"/>
        <w:widowControl w:val="false"/>
        <w:numPr>
          <w:ilvl w:val="0"/>
          <w:numId w:val="4"/>
        </w:numPr>
        <w:tabs>
          <w:tab w:val="clear" w:pos="170"/>
          <w:tab w:val="left" w:pos="1276" w:leader="none"/>
          <w:tab w:val="left" w:pos="1560" w:leader="none"/>
          <w:tab w:val="left" w:pos="1701" w:leader="none"/>
        </w:tabs>
        <w:suppressAutoHyphens w:val="false"/>
        <w:spacing w:lineRule="exact" w:line="360" w:before="120" w:after="120"/>
        <w:ind w:firstLine="709" w:left="0"/>
        <w:contextualSpacing w:val="false"/>
        <w:jc w:val="both"/>
        <w:outlineLvl w:val="0"/>
        <w:rPr>
          <w:rFonts w:ascii="Aptos Display" w:hAnsi="Aptos Display" w:cs="Aptos Display" w:asciiTheme="majorHAnsi" w:cstheme="majorHAnsi" w:hAnsiTheme="majorHAnsi"/>
          <w:color w:themeColor="text1" w:val="000000"/>
          <w:sz w:val="28"/>
          <w:szCs w:val="28"/>
        </w:rPr>
      </w:pPr>
      <w:bookmarkStart w:id="27" w:name="_Toc201588661"/>
      <w:r>
        <w:rPr>
          <w:rFonts w:cs="Aptos Display" w:ascii="Aptos Display" w:hAnsi="Aptos Display" w:asciiTheme="majorHAnsi" w:cstheme="majorHAnsi" w:hAnsiTheme="majorHAnsi"/>
          <w:b/>
          <w:bCs/>
          <w:color w:themeColor="text1" w:val="000000"/>
          <w:sz w:val="28"/>
          <w:szCs w:val="28"/>
        </w:rPr>
        <w:t xml:space="preserve"> </w:t>
      </w:r>
      <w:bookmarkStart w:id="28" w:name="_Hlk230960961"/>
      <w:r>
        <w:rPr>
          <w:rFonts w:cs="Aptos Display" w:ascii="Aptos Display" w:hAnsi="Aptos Display" w:asciiTheme="majorHAnsi" w:cstheme="majorHAnsi" w:hAnsiTheme="majorHAnsi"/>
          <w:b/>
          <w:bCs/>
          <w:color w:themeColor="text1" w:val="000000"/>
          <w:sz w:val="28"/>
          <w:szCs w:val="28"/>
        </w:rPr>
        <w:t>Quy định chuyển tiếp</w:t>
      </w:r>
      <w:bookmarkEnd w:id="27"/>
      <w:bookmarkEnd w:id="28"/>
    </w:p>
    <w:p>
      <w:pPr>
        <w:pStyle w:val="ListParagraph"/>
        <w:widowControl w:val="false"/>
        <w:numPr>
          <w:ilvl w:val="0"/>
          <w:numId w:val="7"/>
        </w:numPr>
        <w:tabs>
          <w:tab w:val="clear" w:pos="170"/>
          <w:tab w:val="left" w:pos="993" w:leader="none"/>
        </w:tabs>
        <w:suppressAutoHyphens w:val="false"/>
        <w:spacing w:lineRule="exact" w:line="360" w:before="120" w:after="120"/>
        <w:ind w:firstLine="709" w:left="0"/>
        <w:contextualSpacing w:val="false"/>
        <w:jc w:val="both"/>
        <w:rPr>
          <w:rFonts w:ascii="Aptos Display" w:hAnsi="Aptos Display" w:cs="Aptos Display" w:asciiTheme="majorHAnsi" w:cstheme="majorHAnsi" w:hAnsiTheme="majorHAnsi"/>
          <w:color w:themeColor="text1" w:val="000000"/>
          <w:spacing w:val="-4"/>
          <w:sz w:val="28"/>
          <w:szCs w:val="28"/>
        </w:rPr>
      </w:pPr>
      <w:r>
        <w:rPr>
          <w:rFonts w:cs="Aptos Display" w:ascii="Aptos Display" w:hAnsi="Aptos Display" w:asciiTheme="majorHAnsi" w:cstheme="majorHAnsi" w:hAnsiTheme="majorHAnsi"/>
          <w:color w:themeColor="text1" w:val="000000"/>
          <w:spacing w:val="-4"/>
          <w:sz w:val="28"/>
          <w:szCs w:val="28"/>
        </w:rPr>
        <w:t xml:space="preserve">Văn bản quy phạm pháp luật, văn bản hành chính của cơ quan nhà nước, người có thẩm quyền ban hành trước ngày 01 tháng 01 năm 2027 tiếp tục có hiệu lực thi hành đến khi cơ quan nhà nước, người có thẩm quyền ban hành quy định thay thế theo quy định của Luật này. </w:t>
      </w:r>
    </w:p>
    <w:p>
      <w:pPr>
        <w:pStyle w:val="ListParagraph"/>
        <w:widowControl w:val="false"/>
        <w:numPr>
          <w:ilvl w:val="0"/>
          <w:numId w:val="7"/>
        </w:numPr>
        <w:tabs>
          <w:tab w:val="clear" w:pos="170"/>
          <w:tab w:val="left" w:pos="993" w:leader="none"/>
        </w:tabs>
        <w:suppressAutoHyphens w:val="false"/>
        <w:spacing w:lineRule="exact" w:line="360" w:before="120" w:after="120"/>
        <w:ind w:firstLine="709" w:left="0"/>
        <w:contextualSpacing w:val="false"/>
        <w:jc w:val="both"/>
        <w:rPr>
          <w:rFonts w:ascii="Aptos Display" w:hAnsi="Aptos Display" w:cs="Aptos Display" w:asciiTheme="majorHAnsi" w:cstheme="majorHAnsi" w:hAnsiTheme="majorHAnsi"/>
          <w:color w:themeColor="text1" w:val="000000"/>
          <w:spacing w:val="-4"/>
          <w:sz w:val="28"/>
          <w:szCs w:val="28"/>
        </w:rPr>
      </w:pPr>
      <w:r>
        <w:rPr>
          <w:rFonts w:cs="Aptos Display" w:ascii="Aptos Display" w:hAnsi="Aptos Display" w:asciiTheme="majorHAnsi" w:cstheme="majorHAnsi" w:hAnsiTheme="majorHAnsi"/>
          <w:color w:themeColor="text1" w:val="000000"/>
          <w:spacing w:val="-4"/>
          <w:sz w:val="28"/>
          <w:szCs w:val="28"/>
        </w:rPr>
        <w:t xml:space="preserve">Các quy định về thủ tục hành chính đang được thực hiện theo các luật được sửa đổi, bổ sung bởi Luật này tiếp tục được thực hiện đến khi cơ quan nhà nước, người có thẩm quyền ban hành quy định thay thế theo quy định của Luật này. </w:t>
      </w:r>
    </w:p>
    <w:p>
      <w:pPr>
        <w:pStyle w:val="ListParagraph"/>
        <w:widowControl w:val="false"/>
        <w:numPr>
          <w:ilvl w:val="0"/>
          <w:numId w:val="7"/>
        </w:numPr>
        <w:tabs>
          <w:tab w:val="clear" w:pos="170"/>
          <w:tab w:val="left" w:pos="993" w:leader="none"/>
        </w:tabs>
        <w:suppressAutoHyphens w:val="false"/>
        <w:spacing w:lineRule="exact" w:line="360" w:before="120" w:after="120"/>
        <w:ind w:firstLine="709" w:left="0"/>
        <w:contextualSpacing w:val="false"/>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Văn bản, giấy phép, giấy chứng nhận là kết quả giải quyết thủ tục hành chính đã được cơ quan, người có thẩm quyền ban hành trước ngày 01 tháng 01 năm 2027 và chưa hết hiệu lực hoặc chưa hết thời hạn thì tiếp tục được áp dụng, sử dụng theo thời hạn ghi trên văn bản, giấy phép, giấy chứng nhận đó.</w:t>
      </w:r>
    </w:p>
    <w:p>
      <w:pPr>
        <w:pStyle w:val="Normal"/>
        <w:widowControl w:val="false"/>
        <w:tabs>
          <w:tab w:val="clear" w:pos="170"/>
          <w:tab w:val="left" w:pos="993" w:leader="none"/>
        </w:tabs>
        <w:suppressAutoHyphens w:val="false"/>
        <w:spacing w:lineRule="exact" w:line="360" w:before="120" w:after="120"/>
        <w:ind w:firstLine="709"/>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Trường hợp tổ chức, cá nhân có nhu cầu được sửa đổi, bổ sung, cấp lại, gia hạn, điều chỉnh văn bản, giấy phép, giấy chứng nhận thì gửi văn bản đề nghị đến cơ quan, người có thẩm quyền theo quy định tại Luật này giải quyết.</w:t>
      </w:r>
    </w:p>
    <w:p>
      <w:pPr>
        <w:pStyle w:val="ListParagraph"/>
        <w:widowControl w:val="false"/>
        <w:numPr>
          <w:ilvl w:val="0"/>
          <w:numId w:val="7"/>
        </w:numPr>
        <w:tabs>
          <w:tab w:val="clear" w:pos="170"/>
          <w:tab w:val="left" w:pos="993" w:leader="none"/>
        </w:tabs>
        <w:suppressAutoHyphens w:val="false"/>
        <w:spacing w:lineRule="exact" w:line="360" w:before="120" w:after="120"/>
        <w:ind w:firstLine="709" w:left="0"/>
        <w:contextualSpacing w:val="false"/>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Tổ chức, cá nhân đã được cơ quan nhà nước, người có thẩm quyền tiếp nhận hồ sơ để giải quyết thủ tục hành chính trước ngày 01 tháng 01 năm 2027 mà chưa có kết quả thì tiếp tục được giải quyết theo quy định của pháp luật tại thời điểm tiếp nhận, trừ trường hợp tổ chức, cá nhân đề nghị thực hiện theo quy định của Luật này.</w:t>
      </w:r>
    </w:p>
    <w:p>
      <w:pPr>
        <w:pStyle w:val="ListParagraph"/>
        <w:widowControl w:val="false"/>
        <w:numPr>
          <w:ilvl w:val="0"/>
          <w:numId w:val="7"/>
        </w:numPr>
        <w:tabs>
          <w:tab w:val="clear" w:pos="170"/>
          <w:tab w:val="left" w:pos="993" w:leader="none"/>
        </w:tabs>
        <w:suppressAutoHyphens w:val="false"/>
        <w:spacing w:lineRule="exact" w:line="360" w:before="120" w:after="120"/>
        <w:ind w:firstLine="709" w:left="0"/>
        <w:contextualSpacing w:val="false"/>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 xml:space="preserve">Trước ngày 30 tháng 6 năm 2027, cơ quan, người có thẩm quyền có trách nhiệm chuyển giao hồ sơ hoặc dữ liệu đã hoàn thành, đang giải quyết liên quan đến các thủ tục hành chính cho cơ quan, người có thẩm quyền được phân quyền theo quy định tại Luật này. </w:t>
      </w:r>
    </w:p>
    <w:p>
      <w:pPr>
        <w:pStyle w:val="ListParagraph"/>
        <w:widowControl w:val="false"/>
        <w:numPr>
          <w:ilvl w:val="0"/>
          <w:numId w:val="7"/>
        </w:numPr>
        <w:tabs>
          <w:tab w:val="clear" w:pos="170"/>
          <w:tab w:val="left" w:pos="1134" w:leader="none"/>
          <w:tab w:val="left" w:pos="1276" w:leader="none"/>
        </w:tabs>
        <w:suppressAutoHyphens w:val="false"/>
        <w:spacing w:lineRule="exact" w:line="360" w:before="120" w:after="120"/>
        <w:ind w:firstLine="709" w:left="0"/>
        <w:contextualSpacing w:val="false"/>
        <w:jc w:val="both"/>
        <w:rPr>
          <w:rFonts w:ascii="Aptos Display" w:hAnsi="Aptos Display" w:cs="Aptos Display" w:asciiTheme="majorHAnsi" w:cstheme="majorHAnsi" w:hAnsiTheme="majorHAnsi"/>
          <w:color w:themeColor="text1" w:val="000000"/>
          <w:sz w:val="28"/>
          <w:szCs w:val="28"/>
        </w:rPr>
      </w:pPr>
      <w:r>
        <w:rPr>
          <w:rFonts w:cs="Aptos Display" w:ascii="Aptos Display" w:hAnsi="Aptos Display" w:asciiTheme="majorHAnsi" w:cstheme="majorHAnsi" w:hAnsiTheme="majorHAnsi"/>
          <w:color w:themeColor="text1" w:val="000000"/>
          <w:sz w:val="28"/>
          <w:szCs w:val="28"/>
        </w:rPr>
        <w:t>Chính phủ quy định các trường hợp chuyển tiếp khác theo quy định của Luật này.</w:t>
      </w:r>
    </w:p>
    <w:p>
      <w:pPr>
        <w:pStyle w:val="Normal"/>
        <w:widowControl w:val="false"/>
        <w:suppressAutoHyphens w:val="false"/>
        <w:spacing w:lineRule="exact" w:line="340" w:before="120" w:after="120"/>
        <w:ind w:firstLine="720"/>
        <w:jc w:val="both"/>
        <w:rPr>
          <w:rFonts w:ascii="Aptos Display" w:hAnsi="Aptos Display" w:eastAsia="Times New Roman" w:cs="Aptos Display" w:asciiTheme="majorHAnsi" w:cstheme="majorHAnsi" w:hAnsiTheme="majorHAnsi"/>
          <w:i/>
          <w:iCs/>
          <w:color w:themeColor="text1" w:val="000000"/>
          <w:sz w:val="28"/>
          <w:szCs w:val="28"/>
        </w:rPr>
      </w:pPr>
      <w:r>
        <w:rPr>
          <w:rFonts w:eastAsia="Times New Roman" w:cs="Aptos Display" w:cstheme="majorHAnsi" w:ascii="Aptos Display" w:hAnsi="Aptos Display"/>
          <w:i/>
          <w:iCs/>
          <w:color w:themeColor="text1" w:val="000000"/>
          <w:sz w:val="28"/>
          <w:szCs w:val="28"/>
        </w:rPr>
        <mc:AlternateContent>
          <mc:Choice Requires="wps">
            <w:drawing>
              <wp:anchor distT="0" distB="0" distL="0" distR="1270" simplePos="0" relativeHeight="2" behindDoc="0" locked="0" layoutInCell="1" allowOverlap="1" wp14:anchorId="6EF31420">
                <wp:simplePos x="0" y="0"/>
                <wp:positionH relativeFrom="column">
                  <wp:posOffset>-95250</wp:posOffset>
                </wp:positionH>
                <wp:positionV relativeFrom="paragraph">
                  <wp:posOffset>106045</wp:posOffset>
                </wp:positionV>
                <wp:extent cx="5828030" cy="635"/>
                <wp:effectExtent l="5080" t="5715" r="5715" b="5080"/>
                <wp:wrapNone/>
                <wp:docPr id="3" name="AutoShape 5"/>
                <a:graphic xmlns:a="http://schemas.openxmlformats.org/drawingml/2006/main">
                  <a:graphicData uri="http://schemas.microsoft.com/office/word/2010/wordprocessingShape">
                    <wps:wsp>
                      <wps:cNvSpPr/>
                      <wps:spPr>
                        <a:xfrm>
                          <a:off x="0" y="0"/>
                          <a:ext cx="5828040" cy="720"/>
                        </a:xfrm>
                        <a:prstGeom prst="straightConnector1">
                          <a:avLst/>
                        </a:prstGeom>
                        <a:noFill/>
                        <a:ln w="9525">
                          <a:solidFill>
                            <a:srgbClr val="000000"/>
                          </a:solidFill>
                          <a:round/>
                        </a:ln>
                      </wps:spPr>
                      <wps:style>
                        <a:lnRef idx="0"/>
                        <a:fillRef idx="0"/>
                        <a:effectRef idx="0"/>
                        <a:fontRef idx="minor"/>
                      </wps:style>
                      <wps:bodyPr/>
                    </wps:wsp>
                  </a:graphicData>
                </a:graphic>
              </wp:anchor>
            </w:drawing>
          </mc:Choice>
          <mc:Fallback>
            <w:pict>
              <v:shape id="shape_0" stroked="t" o:allowincell="f" style="position:absolute;margin-left:-7.5pt;margin-top:8.35pt;width:458.85pt;height:0pt;mso-wrap-style:none;v-text-anchor:middle" wp14:anchorId="6EF31420" type="_x0000_t32" path="m0,0l-2147483648,-2147483647e">
                <v:fill o:detectmouseclick="t" on="false"/>
                <v:stroke color="black" weight="9360" joinstyle="round" endcap="flat"/>
                <w10:wrap type="none"/>
              </v:shape>
            </w:pict>
          </mc:Fallback>
        </mc:AlternateContent>
      </w:r>
    </w:p>
    <w:p>
      <w:pPr>
        <w:pStyle w:val="Normal"/>
        <w:widowControl w:val="false"/>
        <w:suppressAutoHyphens w:val="false"/>
        <w:spacing w:lineRule="exact" w:line="340" w:before="120" w:after="120"/>
        <w:ind w:firstLine="720"/>
        <w:jc w:val="both"/>
        <w:rPr>
          <w:rFonts w:ascii="Aptos Display" w:hAnsi="Aptos Display" w:eastAsia="Times New Roman" w:cs="Aptos Display" w:asciiTheme="majorHAnsi" w:cstheme="majorHAnsi" w:hAnsiTheme="majorHAnsi"/>
          <w:i/>
          <w:iCs/>
          <w:color w:themeColor="text1" w:val="000000"/>
          <w:sz w:val="28"/>
          <w:szCs w:val="28"/>
        </w:rPr>
      </w:pPr>
      <w:r>
        <w:rPr>
          <w:rFonts w:eastAsia="Times New Roman" w:cs="Aptos Display" w:ascii="Aptos Display" w:hAnsi="Aptos Display" w:asciiTheme="majorHAnsi" w:cstheme="majorHAnsi" w:hAnsiTheme="majorHAnsi"/>
          <w:i/>
          <w:iCs/>
          <w:color w:themeColor="text1" w:val="000000"/>
          <w:spacing w:val="4"/>
          <w:sz w:val="28"/>
          <w:szCs w:val="28"/>
        </w:rPr>
        <w:t xml:space="preserve">Luật này được Quốc hội nước Cộng hòa xã hội chủ nghĩa Việt Nam khóa XVI, </w:t>
      </w:r>
      <w:r>
        <w:rPr>
          <w:rFonts w:eastAsia="Times New Roman" w:cs="Aptos Display" w:ascii="Aptos Display" w:hAnsi="Aptos Display" w:asciiTheme="majorHAnsi" w:cstheme="majorHAnsi" w:hAnsiTheme="majorHAnsi"/>
          <w:i/>
          <w:iCs/>
          <w:color w:themeColor="text1" w:val="000000"/>
          <w:sz w:val="28"/>
          <w:szCs w:val="28"/>
        </w:rPr>
        <w:t>kỳ họp thứ ... thông qua ngày    tháng     năm 2027.</w:t>
      </w:r>
    </w:p>
    <w:tbl>
      <w:tblPr>
        <w:tblW w:w="9072" w:type="dxa"/>
        <w:jc w:val="left"/>
        <w:tblInd w:w="0" w:type="dxa"/>
        <w:tblLayout w:type="fixed"/>
        <w:tblCellMar>
          <w:top w:w="0" w:type="dxa"/>
          <w:left w:w="0" w:type="dxa"/>
          <w:bottom w:w="0" w:type="dxa"/>
          <w:right w:w="0" w:type="dxa"/>
        </w:tblCellMar>
        <w:tblLook w:val="0000" w:firstRow="0" w:noVBand="0" w:lastRow="0" w:firstColumn="0" w:lastColumn="0" w:noHBand="0"/>
      </w:tblPr>
      <w:tblGrid>
        <w:gridCol w:w="3959"/>
        <w:gridCol w:w="5113"/>
      </w:tblGrid>
      <w:tr>
        <w:trPr/>
        <w:tc>
          <w:tcPr>
            <w:tcW w:w="3959" w:type="dxa"/>
            <w:tcBorders/>
          </w:tcPr>
          <w:p>
            <w:pPr>
              <w:pStyle w:val="Normal"/>
              <w:widowControl w:val="false"/>
              <w:suppressAutoHyphens w:val="false"/>
              <w:spacing w:lineRule="auto" w:line="240" w:before="120" w:after="120"/>
              <w:rPr>
                <w:rFonts w:ascii="Aptos Display" w:hAnsi="Aptos Display" w:eastAsia="Times New Roman" w:cs="Aptos Display" w:asciiTheme="majorHAnsi" w:cstheme="majorHAnsi" w:hAnsiTheme="majorHAnsi"/>
                <w:b/>
                <w:bCs/>
                <w:color w:themeColor="text1" w:val="000000"/>
                <w:sz w:val="28"/>
                <w:szCs w:val="28"/>
              </w:rPr>
            </w:pPr>
            <w:r>
              <w:rPr>
                <w:rFonts w:eastAsia="Times New Roman" w:cs="Aptos Display" w:cstheme="majorHAnsi" w:ascii="Aptos Display" w:hAnsi="Aptos Display"/>
                <w:b/>
                <w:bCs/>
                <w:color w:themeColor="text1" w:val="000000"/>
                <w:sz w:val="28"/>
                <w:szCs w:val="28"/>
              </w:rPr>
            </w:r>
          </w:p>
        </w:tc>
        <w:tc>
          <w:tcPr>
            <w:tcW w:w="5113" w:type="dxa"/>
            <w:tcBorders/>
          </w:tcPr>
          <w:p>
            <w:pPr>
              <w:pStyle w:val="Normal"/>
              <w:widowControl w:val="false"/>
              <w:suppressAutoHyphens w:val="false"/>
              <w:spacing w:lineRule="auto" w:line="240" w:before="120" w:after="120"/>
              <w:jc w:val="center"/>
              <w:rPr>
                <w:rFonts w:ascii="Aptos Display" w:hAnsi="Aptos Display" w:eastAsia="Times New Roman" w:cs="Aptos Display" w:asciiTheme="majorHAnsi" w:cstheme="majorHAnsi" w:hAnsiTheme="majorHAnsi"/>
                <w:b/>
                <w:bCs/>
                <w:color w:themeColor="text1" w:val="000000"/>
                <w:sz w:val="28"/>
                <w:szCs w:val="28"/>
              </w:rPr>
            </w:pPr>
            <w:r>
              <w:rPr>
                <w:rFonts w:eastAsia="Times New Roman" w:cs="Aptos Display" w:ascii="Aptos Display" w:hAnsi="Aptos Display" w:asciiTheme="majorHAnsi" w:cstheme="majorHAnsi" w:hAnsiTheme="majorHAnsi"/>
                <w:b/>
                <w:bCs/>
                <w:color w:themeColor="text1" w:val="000000"/>
                <w:sz w:val="28"/>
                <w:szCs w:val="28"/>
              </w:rPr>
              <w:t>CHỦ TỊCH QUỐC HỘI</w:t>
              <w:br/>
            </w:r>
          </w:p>
          <w:p>
            <w:pPr>
              <w:pStyle w:val="Normal"/>
              <w:widowControl w:val="false"/>
              <w:suppressAutoHyphens w:val="false"/>
              <w:spacing w:lineRule="auto" w:line="240" w:before="120" w:after="120"/>
              <w:rPr>
                <w:rFonts w:ascii="Aptos Display" w:hAnsi="Aptos Display" w:eastAsia="Times New Roman" w:cs="Aptos Display" w:asciiTheme="majorHAnsi" w:cstheme="majorHAnsi" w:hAnsiTheme="majorHAnsi"/>
                <w:b/>
                <w:bCs/>
                <w:color w:themeColor="text1" w:val="000000"/>
                <w:sz w:val="28"/>
                <w:szCs w:val="28"/>
              </w:rPr>
            </w:pPr>
            <w:r>
              <w:rPr>
                <w:rFonts w:eastAsia="Times New Roman" w:cs="Aptos Display" w:cstheme="majorHAnsi" w:ascii="Aptos Display" w:hAnsi="Aptos Display"/>
                <w:b/>
                <w:bCs/>
                <w:color w:themeColor="text1" w:val="000000"/>
                <w:sz w:val="28"/>
                <w:szCs w:val="28"/>
              </w:rPr>
            </w:r>
          </w:p>
          <w:p>
            <w:pPr>
              <w:pStyle w:val="Normal"/>
              <w:widowControl w:val="false"/>
              <w:suppressAutoHyphens w:val="false"/>
              <w:spacing w:lineRule="auto" w:line="360" w:before="120" w:after="120"/>
              <w:rPr>
                <w:rFonts w:ascii="Aptos Display" w:hAnsi="Aptos Display" w:eastAsia="Times New Roman" w:cs="Aptos Display" w:asciiTheme="majorHAnsi" w:cstheme="majorHAnsi" w:hAnsiTheme="majorHAnsi"/>
                <w:b/>
                <w:bCs/>
                <w:color w:themeColor="text1" w:val="000000"/>
                <w:sz w:val="28"/>
                <w:szCs w:val="28"/>
                <w:lang w:val="en-US"/>
              </w:rPr>
            </w:pPr>
            <w:r>
              <w:rPr>
                <w:rFonts w:eastAsia="Times New Roman" w:cs="Aptos Display" w:cstheme="majorHAnsi" w:ascii="Aptos Display" w:hAnsi="Aptos Display"/>
                <w:b/>
                <w:bCs/>
                <w:color w:themeColor="text1" w:val="000000"/>
                <w:sz w:val="28"/>
                <w:szCs w:val="28"/>
                <w:lang w:val="en-US"/>
              </w:rPr>
            </w:r>
          </w:p>
          <w:p>
            <w:pPr>
              <w:pStyle w:val="Normal"/>
              <w:widowControl w:val="false"/>
              <w:suppressAutoHyphens w:val="false"/>
              <w:spacing w:lineRule="auto" w:line="240" w:before="120" w:after="120"/>
              <w:jc w:val="center"/>
              <w:rPr>
                <w:rFonts w:ascii="Aptos Display" w:hAnsi="Aptos Display" w:cs="Aptos Display" w:asciiTheme="majorHAnsi" w:cstheme="majorHAnsi" w:hAnsiTheme="majorHAnsi"/>
                <w:color w:themeColor="text1" w:val="000000"/>
                <w:sz w:val="28"/>
                <w:szCs w:val="28"/>
              </w:rPr>
            </w:pPr>
            <w:r>
              <w:rPr>
                <w:rFonts w:eastAsia="Times New Roman" w:cs="Aptos Display" w:ascii="Aptos Display" w:hAnsi="Aptos Display" w:asciiTheme="majorHAnsi" w:cstheme="majorHAnsi" w:hAnsiTheme="majorHAnsi"/>
                <w:b/>
                <w:bCs/>
                <w:color w:themeColor="text1" w:val="000000"/>
                <w:sz w:val="28"/>
                <w:szCs w:val="28"/>
              </w:rPr>
              <w:t>Trần Thanh Mẫn</w:t>
            </w:r>
          </w:p>
        </w:tc>
      </w:tr>
    </w:tbl>
    <w:p>
      <w:pPr>
        <w:pStyle w:val="Normal"/>
        <w:widowControl w:val="false"/>
        <w:suppressAutoHyphens w:val="false"/>
        <w:spacing w:lineRule="auto" w:line="240" w:before="120" w:after="120"/>
        <w:rPr>
          <w:rFonts w:ascii="Aptos Display" w:hAnsi="Aptos Display" w:cs="Aptos Display" w:asciiTheme="majorHAnsi" w:cstheme="majorHAnsi" w:hAnsiTheme="majorHAnsi"/>
          <w:color w:themeColor="text1" w:val="000000"/>
          <w:sz w:val="28"/>
          <w:szCs w:val="28"/>
        </w:rPr>
      </w:pPr>
      <w:r>
        <w:rPr>
          <w:rFonts w:cs="Aptos Display" w:cstheme="majorHAnsi" w:ascii="Aptos Display" w:hAnsi="Aptos Display"/>
          <w:color w:themeColor="text1" w:val="000000"/>
          <w:sz w:val="28"/>
          <w:szCs w:val="28"/>
        </w:rPr>
      </w:r>
      <w:bookmarkStart w:id="29" w:name="Dieu_146"/>
      <w:bookmarkStart w:id="30" w:name="Dieu_139"/>
      <w:bookmarkStart w:id="31" w:name="Dieu_134"/>
      <w:bookmarkStart w:id="32" w:name="Dieu_131"/>
      <w:bookmarkStart w:id="33" w:name="Dieu_130"/>
      <w:bookmarkStart w:id="34" w:name="Dieu_127"/>
      <w:bookmarkStart w:id="35" w:name="Dieu_118"/>
      <w:bookmarkStart w:id="36" w:name="Dieu_117"/>
      <w:bookmarkStart w:id="37" w:name="Dieu_111"/>
      <w:bookmarkStart w:id="38" w:name="Dieu_110"/>
      <w:bookmarkStart w:id="39" w:name="Dieu_84"/>
      <w:bookmarkStart w:id="40" w:name="dieu_82"/>
      <w:bookmarkStart w:id="41" w:name="Dieu_77"/>
      <w:bookmarkStart w:id="42" w:name="Dieu_76"/>
      <w:bookmarkStart w:id="43" w:name="Dieu_75"/>
      <w:bookmarkStart w:id="44" w:name="Dieu_74"/>
      <w:bookmarkStart w:id="45" w:name="Dieu_67"/>
      <w:bookmarkStart w:id="46" w:name="Dieu_36"/>
      <w:bookmarkStart w:id="47" w:name="Dieu_35"/>
      <w:bookmarkStart w:id="48" w:name="Dieu_30"/>
      <w:bookmarkStart w:id="49" w:name="Dieu_14"/>
      <w:bookmarkStart w:id="50" w:name="Dieu_11"/>
      <w:bookmarkStart w:id="51" w:name="Dieu_5"/>
      <w:bookmarkStart w:id="52" w:name="Dieu_3"/>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sectPr>
      <w:headerReference w:type="even" r:id="rId2"/>
      <w:headerReference w:type="default" r:id="rId3"/>
      <w:headerReference w:type="first" r:id="rId4"/>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Display">
    <w:charset w:val="00"/>
    <w:family w:val="roman"/>
    <w:pitch w:val="variable"/>
  </w:font>
  <w:font w:name="Cambria">
    <w:charset w:val="00"/>
    <w:family w:val="roman"/>
    <w:pitch w:val="variable"/>
  </w:font>
  <w:font w:name="Calibri">
    <w:charset w:val="00"/>
    <w:family w:val="swiss"/>
    <w:pitch w:val="variable"/>
  </w:font>
  <w:font w:name=".VnTimeH">
    <w:charset w:val="00"/>
    <w:family w:val="swiss"/>
    <w:pitch w:val="variable"/>
  </w:font>
  <w:font w:name=".VnTime">
    <w:charset w:val="00"/>
    <w:family w:val="swiss"/>
    <w:pitch w:val="variable"/>
  </w:font>
  <w:font w:name="Tahoma">
    <w:charset w:val="00"/>
    <w:family w:val="swiss"/>
    <w:pitch w:val="variable"/>
  </w:font>
  <w:font w:name="Times New Roman Bold">
    <w:charset w:val="00"/>
    <w:family w:val="roman"/>
    <w:pitch w:val="variable"/>
  </w:font>
  <w:font w:name="TimesNewRomanPSMT">
    <w:charset w:val="00"/>
    <w:family w:val="roman"/>
    <w:pitch w:val="variable"/>
  </w:font>
  <w:font w:name="Liberation Sans">
    <w:altName w:val="Arial"/>
    <w:charset w:val="00"/>
    <w:family w:val="swiss"/>
    <w:pitch w:val="variable"/>
  </w:font>
  <w:font w:name="Aptos">
    <w:charset w:val="00"/>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jc w:val="center"/>
      <w:rPr/>
    </w:pPr>
    <w:r>
      <w:rPr/>
      <w:fldChar w:fldCharType="begin"/>
    </w:r>
    <w:r>
      <w:rPr/>
      <w:instrText xml:space="preserve"> PAGE </w:instrText>
    </w:r>
    <w:r>
      <w:rPr/>
      <w:fldChar w:fldCharType="separate"/>
    </w:r>
    <w:r>
      <w:rPr/>
      <w:t>20</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20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0" w:firstLine="710"/>
      </w:pPr>
      <w:rPr>
        <w:b w:val="false"/>
        <w:bCs w:val="false"/>
        <w:color w:val="auto"/>
      </w:rPr>
    </w:lvl>
    <w:lvl w:ilvl="1">
      <w:start w:val="1"/>
      <w:numFmt w:val="lowerLetter"/>
      <w:lvlText w:val="%2."/>
      <w:lvlJc w:val="left"/>
      <w:pPr>
        <w:tabs>
          <w:tab w:val="num" w:pos="0"/>
        </w:tabs>
        <w:ind w:left="1364" w:hanging="360"/>
      </w:pPr>
      <w:rPr/>
    </w:lvl>
    <w:lvl w:ilvl="2">
      <w:start w:val="1"/>
      <w:numFmt w:val="lowerRoman"/>
      <w:lvlText w:val="%3."/>
      <w:lvlJc w:val="right"/>
      <w:pPr>
        <w:tabs>
          <w:tab w:val="num" w:pos="0"/>
        </w:tabs>
        <w:ind w:left="2084" w:hanging="180"/>
      </w:pPr>
      <w:rPr/>
    </w:lvl>
    <w:lvl w:ilvl="3">
      <w:start w:val="1"/>
      <w:numFmt w:val="decimal"/>
      <w:lvlText w:val="%4."/>
      <w:lvlJc w:val="left"/>
      <w:pPr>
        <w:tabs>
          <w:tab w:val="num" w:pos="0"/>
        </w:tabs>
        <w:ind w:left="2804" w:hanging="360"/>
      </w:pPr>
      <w:rPr/>
    </w:lvl>
    <w:lvl w:ilvl="4">
      <w:start w:val="1"/>
      <w:numFmt w:val="lowerLetter"/>
      <w:lvlText w:val="%5."/>
      <w:lvlJc w:val="left"/>
      <w:pPr>
        <w:tabs>
          <w:tab w:val="num" w:pos="0"/>
        </w:tabs>
        <w:ind w:left="3524" w:hanging="360"/>
      </w:pPr>
      <w:rPr/>
    </w:lvl>
    <w:lvl w:ilvl="5">
      <w:start w:val="1"/>
      <w:numFmt w:val="lowerRoman"/>
      <w:lvlText w:val="%6."/>
      <w:lvlJc w:val="right"/>
      <w:pPr>
        <w:tabs>
          <w:tab w:val="num" w:pos="0"/>
        </w:tabs>
        <w:ind w:left="4244" w:hanging="180"/>
      </w:pPr>
      <w:rPr/>
    </w:lvl>
    <w:lvl w:ilvl="6">
      <w:start w:val="1"/>
      <w:numFmt w:val="decimal"/>
      <w:lvlText w:val="%7."/>
      <w:lvlJc w:val="left"/>
      <w:pPr>
        <w:tabs>
          <w:tab w:val="num" w:pos="0"/>
        </w:tabs>
        <w:ind w:left="4964" w:hanging="360"/>
      </w:pPr>
      <w:rPr/>
    </w:lvl>
    <w:lvl w:ilvl="7">
      <w:start w:val="1"/>
      <w:numFmt w:val="lowerLetter"/>
      <w:lvlText w:val="%8."/>
      <w:lvlJc w:val="left"/>
      <w:pPr>
        <w:tabs>
          <w:tab w:val="num" w:pos="0"/>
        </w:tabs>
        <w:ind w:left="5684" w:hanging="360"/>
      </w:pPr>
      <w:rPr/>
    </w:lvl>
    <w:lvl w:ilvl="8">
      <w:start w:val="1"/>
      <w:numFmt w:val="lowerRoman"/>
      <w:lvlText w:val="%9."/>
      <w:lvlJc w:val="right"/>
      <w:pPr>
        <w:tabs>
          <w:tab w:val="num" w:pos="0"/>
        </w:tabs>
        <w:ind w:left="6404" w:hanging="180"/>
      </w:pPr>
      <w:rPr/>
    </w:lvl>
  </w:abstractNum>
  <w:abstractNum w:abstractNumId="2">
    <w:lvl w:ilvl="0">
      <w:start w:val="1"/>
      <w:numFmt w:val="decimal"/>
      <w:lvlText w:val="%1."/>
      <w:lvlJc w:val="left"/>
      <w:pPr>
        <w:tabs>
          <w:tab w:val="num" w:pos="0"/>
        </w:tabs>
        <w:ind w:left="1068" w:hanging="360"/>
      </w:pPr>
      <w:rPr>
        <w:b w:val="false"/>
        <w:bCs w:val="false"/>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3">
    <w:lvl w:ilvl="0">
      <w:start w:val="1"/>
      <w:numFmt w:val="decimal"/>
      <w:lvlText w:val="%1."/>
      <w:lvlJc w:val="left"/>
      <w:pPr>
        <w:tabs>
          <w:tab w:val="num" w:pos="0"/>
        </w:tabs>
        <w:ind w:left="1070" w:hanging="360"/>
      </w:pPr>
      <w:rPr>
        <w:b w:val="false"/>
        <w:bCs/>
        <w:i w:val="false"/>
        <w:iCs w:val="false"/>
        <w:sz w:val="28"/>
        <w:szCs w:val="28"/>
      </w:rPr>
    </w:lvl>
    <w:lvl w:ilvl="1">
      <w:start w:val="1"/>
      <w:numFmt w:val="lowerLetter"/>
      <w:lvlText w:val="%2."/>
      <w:lvlJc w:val="left"/>
      <w:pPr>
        <w:tabs>
          <w:tab w:val="num" w:pos="0"/>
        </w:tabs>
        <w:ind w:left="3065" w:hanging="360"/>
      </w:pPr>
      <w:rPr/>
    </w:lvl>
    <w:lvl w:ilvl="2">
      <w:start w:val="1"/>
      <w:numFmt w:val="lowerRoman"/>
      <w:lvlText w:val="%3."/>
      <w:lvlJc w:val="right"/>
      <w:pPr>
        <w:tabs>
          <w:tab w:val="num" w:pos="0"/>
        </w:tabs>
        <w:ind w:left="3785" w:hanging="180"/>
      </w:pPr>
      <w:rPr/>
    </w:lvl>
    <w:lvl w:ilvl="3">
      <w:start w:val="1"/>
      <w:numFmt w:val="decimal"/>
      <w:lvlText w:val="%4."/>
      <w:lvlJc w:val="left"/>
      <w:pPr>
        <w:tabs>
          <w:tab w:val="num" w:pos="0"/>
        </w:tabs>
        <w:ind w:left="4505" w:hanging="360"/>
      </w:pPr>
      <w:rPr/>
    </w:lvl>
    <w:lvl w:ilvl="4">
      <w:start w:val="1"/>
      <w:numFmt w:val="lowerLetter"/>
      <w:lvlText w:val="%5."/>
      <w:lvlJc w:val="left"/>
      <w:pPr>
        <w:tabs>
          <w:tab w:val="num" w:pos="0"/>
        </w:tabs>
        <w:ind w:left="5225" w:hanging="360"/>
      </w:pPr>
      <w:rPr/>
    </w:lvl>
    <w:lvl w:ilvl="5">
      <w:start w:val="1"/>
      <w:numFmt w:val="lowerRoman"/>
      <w:lvlText w:val="%6."/>
      <w:lvlJc w:val="right"/>
      <w:pPr>
        <w:tabs>
          <w:tab w:val="num" w:pos="0"/>
        </w:tabs>
        <w:ind w:left="5945" w:hanging="180"/>
      </w:pPr>
      <w:rPr/>
    </w:lvl>
    <w:lvl w:ilvl="6">
      <w:start w:val="1"/>
      <w:numFmt w:val="decimal"/>
      <w:lvlText w:val="%7."/>
      <w:lvlJc w:val="left"/>
      <w:pPr>
        <w:tabs>
          <w:tab w:val="num" w:pos="0"/>
        </w:tabs>
        <w:ind w:left="6665" w:hanging="360"/>
      </w:pPr>
      <w:rPr/>
    </w:lvl>
    <w:lvl w:ilvl="7">
      <w:start w:val="1"/>
      <w:numFmt w:val="lowerLetter"/>
      <w:lvlText w:val="%8."/>
      <w:lvlJc w:val="left"/>
      <w:pPr>
        <w:tabs>
          <w:tab w:val="num" w:pos="0"/>
        </w:tabs>
        <w:ind w:left="7385" w:hanging="360"/>
      </w:pPr>
      <w:rPr/>
    </w:lvl>
    <w:lvl w:ilvl="8">
      <w:start w:val="1"/>
      <w:numFmt w:val="lowerRoman"/>
      <w:lvlText w:val="%9."/>
      <w:lvlJc w:val="right"/>
      <w:pPr>
        <w:tabs>
          <w:tab w:val="num" w:pos="0"/>
        </w:tabs>
        <w:ind w:left="8105" w:hanging="180"/>
      </w:pPr>
      <w:rPr/>
    </w:lvl>
  </w:abstractNum>
  <w:abstractNum w:abstractNumId="4">
    <w:lvl w:ilvl="0">
      <w:start w:val="1"/>
      <w:numFmt w:val="decimal"/>
      <w:lvlText w:val="Điều %1."/>
      <w:lvlJc w:val="left"/>
      <w:pPr>
        <w:tabs>
          <w:tab w:val="num" w:pos="0"/>
        </w:tabs>
        <w:ind w:left="928" w:hanging="360"/>
      </w:pPr>
      <w:rPr>
        <w:rFonts w:ascii="Times New Roman" w:hAnsi="Times New Roman" w:cs="Times New Roman"/>
        <w:b/>
        <w:i w:val="false"/>
        <w:strike w:val="false"/>
        <w:dstrike w:val="false"/>
        <w:color w:val="auto"/>
        <w:sz w:val="28"/>
        <w:szCs w:val="28"/>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5">
    <w:lvl w:ilvl="0">
      <w:start w:val="1"/>
      <w:numFmt w:val="decimal"/>
      <w:suff w:val="space"/>
      <w:lvlText w:val="Điều %1."/>
      <w:lvlJc w:val="left"/>
      <w:pPr>
        <w:tabs>
          <w:tab w:val="num" w:pos="0"/>
        </w:tabs>
        <w:ind w:left="720" w:firstLine="720"/>
      </w:pPr>
      <w:rPr>
        <w:rFonts w:ascii="Times New Roman" w:hAnsi="Times New Roman" w:cs="Times New Roman"/>
        <w:b/>
        <w:bCs/>
        <w:i w:val="false"/>
        <w:iCs w:val="false"/>
        <w:strike w:val="false"/>
        <w:dstrike w:val="false"/>
        <w:color w:val="auto"/>
        <w:sz w:val="28"/>
        <w:szCs w:val="32"/>
      </w:rPr>
    </w:lvl>
    <w:lvl w:ilvl="1">
      <w:start w:val="1"/>
      <w:numFmt w:val="lowerLetter"/>
      <w:lvlText w:val="%2."/>
      <w:lvlJc w:val="left"/>
      <w:pPr>
        <w:tabs>
          <w:tab w:val="num" w:pos="0"/>
        </w:tabs>
        <w:ind w:left="721" w:hanging="360"/>
      </w:pPr>
      <w:rPr/>
    </w:lvl>
    <w:lvl w:ilvl="2">
      <w:start w:val="1"/>
      <w:numFmt w:val="decimal"/>
      <w:suff w:val="space"/>
      <w:lvlText w:val="%3."/>
      <w:lvlJc w:val="left"/>
      <w:pPr>
        <w:tabs>
          <w:tab w:val="num" w:pos="0"/>
        </w:tabs>
        <w:ind w:left="0" w:firstLine="720"/>
      </w:pPr>
      <w:rPr/>
    </w:lvl>
    <w:lvl w:ilvl="3">
      <w:start w:val="1"/>
      <w:numFmt w:val="decimal"/>
      <w:lvlText w:val="%4."/>
      <w:lvlJc w:val="left"/>
      <w:pPr>
        <w:tabs>
          <w:tab w:val="num" w:pos="0"/>
        </w:tabs>
        <w:ind w:left="2161" w:hanging="360"/>
      </w:pPr>
      <w:rPr/>
    </w:lvl>
    <w:lvl w:ilvl="4">
      <w:start w:val="1"/>
      <w:numFmt w:val="lowerLetter"/>
      <w:lvlText w:val="%5)"/>
      <w:lvlJc w:val="left"/>
      <w:pPr>
        <w:tabs>
          <w:tab w:val="num" w:pos="0"/>
        </w:tabs>
        <w:ind w:left="2881" w:hanging="360"/>
      </w:pPr>
      <w:rPr/>
    </w:lvl>
    <w:lvl w:ilvl="5">
      <w:start w:val="1"/>
      <w:numFmt w:val="lowerRoman"/>
      <w:lvlText w:val="%6."/>
      <w:lvlJc w:val="right"/>
      <w:pPr>
        <w:tabs>
          <w:tab w:val="num" w:pos="0"/>
        </w:tabs>
        <w:ind w:left="3601" w:hanging="180"/>
      </w:pPr>
      <w:rPr/>
    </w:lvl>
    <w:lvl w:ilvl="6">
      <w:start w:val="1"/>
      <w:numFmt w:val="decimal"/>
      <w:lvlText w:val="%7."/>
      <w:lvlJc w:val="left"/>
      <w:pPr>
        <w:tabs>
          <w:tab w:val="num" w:pos="0"/>
        </w:tabs>
        <w:ind w:left="4321" w:hanging="360"/>
      </w:pPr>
      <w:rPr/>
    </w:lvl>
    <w:lvl w:ilvl="7">
      <w:start w:val="1"/>
      <w:numFmt w:val="lowerLetter"/>
      <w:lvlText w:val="%8."/>
      <w:lvlJc w:val="left"/>
      <w:pPr>
        <w:tabs>
          <w:tab w:val="num" w:pos="0"/>
        </w:tabs>
        <w:ind w:left="5041" w:hanging="360"/>
      </w:pPr>
      <w:rPr/>
    </w:lvl>
    <w:lvl w:ilvl="8">
      <w:start w:val="1"/>
      <w:numFmt w:val="lowerRoman"/>
      <w:lvlText w:val="%9."/>
      <w:lvlJc w:val="right"/>
      <w:pPr>
        <w:tabs>
          <w:tab w:val="num" w:pos="0"/>
        </w:tabs>
        <w:ind w:left="5761" w:hanging="180"/>
      </w:pPr>
      <w:rPr/>
    </w:lvl>
  </w:abstractNum>
  <w:abstractNum w:abstractNumId="6">
    <w:lvl w:ilvl="0">
      <w:start w:val="1"/>
      <w:numFmt w:val="decimal"/>
      <w:lvlText w:val="%1."/>
      <w:lvlJc w:val="left"/>
      <w:pPr>
        <w:tabs>
          <w:tab w:val="num" w:pos="0"/>
        </w:tabs>
        <w:ind w:left="1070" w:hanging="360"/>
      </w:pPr>
      <w:rPr>
        <w:b w:val="false"/>
        <w:bCs/>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7">
    <w:lvl w:ilvl="0">
      <w:start w:val="1"/>
      <w:numFmt w:val="decimal"/>
      <w:lvlText w:val="%1."/>
      <w:lvlJc w:val="left"/>
      <w:pPr>
        <w:tabs>
          <w:tab w:val="num" w:pos="0"/>
        </w:tabs>
        <w:ind w:left="786" w:hanging="360"/>
      </w:pPr>
      <w:rPr>
        <w:i w:val="false"/>
        <w:iCs w:val="false"/>
        <w:color w:val="auto"/>
      </w:rPr>
    </w:lvl>
    <w:lvl w:ilvl="1">
      <w:start w:val="1"/>
      <w:numFmt w:val="lowerLetter"/>
      <w:lvlText w:val="%2."/>
      <w:lvlJc w:val="left"/>
      <w:pPr>
        <w:tabs>
          <w:tab w:val="num" w:pos="0"/>
        </w:tabs>
        <w:ind w:left="1506" w:hanging="360"/>
      </w:pPr>
      <w:rPr/>
    </w:lvl>
    <w:lvl w:ilvl="2">
      <w:start w:val="1"/>
      <w:numFmt w:val="lowerRoman"/>
      <w:lvlText w:val="%3."/>
      <w:lvlJc w:val="right"/>
      <w:pPr>
        <w:tabs>
          <w:tab w:val="num" w:pos="0"/>
        </w:tabs>
        <w:ind w:left="2226" w:hanging="180"/>
      </w:pPr>
      <w:rPr/>
    </w:lvl>
    <w:lvl w:ilvl="3">
      <w:start w:val="1"/>
      <w:numFmt w:val="decimal"/>
      <w:lvlText w:val="%4."/>
      <w:lvlJc w:val="left"/>
      <w:pPr>
        <w:tabs>
          <w:tab w:val="num" w:pos="0"/>
        </w:tabs>
        <w:ind w:left="2946" w:hanging="360"/>
      </w:pPr>
      <w:rPr/>
    </w:lvl>
    <w:lvl w:ilvl="4">
      <w:start w:val="1"/>
      <w:numFmt w:val="lowerLetter"/>
      <w:lvlText w:val="%5."/>
      <w:lvlJc w:val="left"/>
      <w:pPr>
        <w:tabs>
          <w:tab w:val="num" w:pos="0"/>
        </w:tabs>
        <w:ind w:left="3666" w:hanging="360"/>
      </w:pPr>
      <w:rPr/>
    </w:lvl>
    <w:lvl w:ilvl="5">
      <w:start w:val="1"/>
      <w:numFmt w:val="lowerRoman"/>
      <w:lvlText w:val="%6."/>
      <w:lvlJc w:val="right"/>
      <w:pPr>
        <w:tabs>
          <w:tab w:val="num" w:pos="0"/>
        </w:tabs>
        <w:ind w:left="4386" w:hanging="180"/>
      </w:pPr>
      <w:rPr/>
    </w:lvl>
    <w:lvl w:ilvl="6">
      <w:start w:val="1"/>
      <w:numFmt w:val="decimal"/>
      <w:lvlText w:val="%7."/>
      <w:lvlJc w:val="left"/>
      <w:pPr>
        <w:tabs>
          <w:tab w:val="num" w:pos="0"/>
        </w:tabs>
        <w:ind w:left="5106" w:hanging="360"/>
      </w:pPr>
      <w:rPr/>
    </w:lvl>
    <w:lvl w:ilvl="7">
      <w:start w:val="1"/>
      <w:numFmt w:val="lowerLetter"/>
      <w:lvlText w:val="%8."/>
      <w:lvlJc w:val="left"/>
      <w:pPr>
        <w:tabs>
          <w:tab w:val="num" w:pos="0"/>
        </w:tabs>
        <w:ind w:left="5826" w:hanging="360"/>
      </w:pPr>
      <w:rPr/>
    </w:lvl>
    <w:lvl w:ilvl="8">
      <w:start w:val="1"/>
      <w:numFmt w:val="lowerRoman"/>
      <w:lvlText w:val="%9."/>
      <w:lvlJc w:val="right"/>
      <w:pPr>
        <w:tabs>
          <w:tab w:val="num" w:pos="0"/>
        </w:tabs>
        <w:ind w:left="6546" w:hanging="180"/>
      </w:pPr>
      <w:rPr/>
    </w:lvl>
  </w:abstractNum>
  <w:abstractNum w:abstractNumId="8">
    <w:lvl w:ilvl="0">
      <w:start w:val="1"/>
      <w:numFmt w:val="decimal"/>
      <w:lvlText w:val="%1."/>
      <w:lvlJc w:val="left"/>
      <w:pPr>
        <w:tabs>
          <w:tab w:val="num" w:pos="0"/>
        </w:tabs>
        <w:ind w:left="1069" w:hanging="360"/>
      </w:pPr>
      <w:rPr>
        <w:b w:val="false"/>
        <w:bCs w:val="false"/>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9">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0">
    <w:lvl w:ilvl="0">
      <w:start w:val="1"/>
      <w:numFmt w:val="decimal"/>
      <w:lvlText w:val="%1."/>
      <w:lvlJc w:val="left"/>
      <w:pPr>
        <w:tabs>
          <w:tab w:val="num" w:pos="0"/>
        </w:tabs>
        <w:ind w:left="1429" w:hanging="360"/>
      </w:pPr>
      <w:rPr/>
    </w:lvl>
    <w:lvl w:ilvl="1">
      <w:start w:val="1"/>
      <w:numFmt w:val="lowerLetter"/>
      <w:lvlText w:val="%2."/>
      <w:lvlJc w:val="left"/>
      <w:pPr>
        <w:tabs>
          <w:tab w:val="num" w:pos="0"/>
        </w:tabs>
        <w:ind w:left="2149" w:hanging="360"/>
      </w:pPr>
      <w:rPr/>
    </w:lvl>
    <w:lvl w:ilvl="2">
      <w:start w:val="1"/>
      <w:numFmt w:val="lowerRoman"/>
      <w:lvlText w:val="%3."/>
      <w:lvlJc w:val="right"/>
      <w:pPr>
        <w:tabs>
          <w:tab w:val="num" w:pos="0"/>
        </w:tabs>
        <w:ind w:left="2869" w:hanging="180"/>
      </w:pPr>
      <w:rPr/>
    </w:lvl>
    <w:lvl w:ilvl="3">
      <w:start w:val="1"/>
      <w:numFmt w:val="decimal"/>
      <w:lvlText w:val="%4."/>
      <w:lvlJc w:val="left"/>
      <w:pPr>
        <w:tabs>
          <w:tab w:val="num" w:pos="0"/>
        </w:tabs>
        <w:ind w:left="3589" w:hanging="360"/>
      </w:pPr>
      <w:rPr/>
    </w:lvl>
    <w:lvl w:ilvl="4">
      <w:start w:val="1"/>
      <w:numFmt w:val="lowerLetter"/>
      <w:lvlText w:val="%5."/>
      <w:lvlJc w:val="left"/>
      <w:pPr>
        <w:tabs>
          <w:tab w:val="num" w:pos="0"/>
        </w:tabs>
        <w:ind w:left="4309" w:hanging="360"/>
      </w:pPr>
      <w:rPr/>
    </w:lvl>
    <w:lvl w:ilvl="5">
      <w:start w:val="1"/>
      <w:numFmt w:val="lowerRoman"/>
      <w:lvlText w:val="%6."/>
      <w:lvlJc w:val="right"/>
      <w:pPr>
        <w:tabs>
          <w:tab w:val="num" w:pos="0"/>
        </w:tabs>
        <w:ind w:left="5029" w:hanging="180"/>
      </w:pPr>
      <w:rPr/>
    </w:lvl>
    <w:lvl w:ilvl="6">
      <w:start w:val="1"/>
      <w:numFmt w:val="decimal"/>
      <w:lvlText w:val="%7."/>
      <w:lvlJc w:val="left"/>
      <w:pPr>
        <w:tabs>
          <w:tab w:val="num" w:pos="0"/>
        </w:tabs>
        <w:ind w:left="5749" w:hanging="360"/>
      </w:pPr>
      <w:rPr/>
    </w:lvl>
    <w:lvl w:ilvl="7">
      <w:start w:val="1"/>
      <w:numFmt w:val="lowerLetter"/>
      <w:lvlText w:val="%8."/>
      <w:lvlJc w:val="left"/>
      <w:pPr>
        <w:tabs>
          <w:tab w:val="num" w:pos="0"/>
        </w:tabs>
        <w:ind w:left="6469" w:hanging="360"/>
      </w:pPr>
      <w:rPr/>
    </w:lvl>
    <w:lvl w:ilvl="8">
      <w:start w:val="1"/>
      <w:numFmt w:val="lowerRoman"/>
      <w:lvlText w:val="%9."/>
      <w:lvlJc w:val="right"/>
      <w:pPr>
        <w:tabs>
          <w:tab w:val="num" w:pos="0"/>
        </w:tabs>
        <w:ind w:left="7189" w:hanging="180"/>
      </w:pPr>
      <w:rPr/>
    </w:lvl>
  </w:abstractNum>
  <w:abstractNum w:abstractNumId="11">
    <w:lvl w:ilvl="0">
      <w:start w:val="1"/>
      <w:numFmt w:val="lowerLetter"/>
      <w:lvlText w:val="%1)"/>
      <w:lvlJc w:val="left"/>
      <w:pPr>
        <w:tabs>
          <w:tab w:val="num" w:pos="0"/>
        </w:tabs>
        <w:ind w:left="1069" w:hanging="360"/>
      </w:pPr>
      <w:rPr/>
    </w:lvl>
    <w:lvl w:ilvl="1">
      <w:start w:val="1"/>
      <w:numFmt w:val="lowerLetter"/>
      <w:lvlText w:val="%2."/>
      <w:lvlJc w:val="left"/>
      <w:pPr>
        <w:tabs>
          <w:tab w:val="num" w:pos="0"/>
        </w:tabs>
        <w:ind w:left="1789" w:hanging="360"/>
      </w:pPr>
      <w:rPr/>
    </w:lvl>
    <w:lvl w:ilvl="2">
      <w:start w:val="1"/>
      <w:numFmt w:val="lowerRoman"/>
      <w:lvlText w:val="%3."/>
      <w:lvlJc w:val="right"/>
      <w:pPr>
        <w:tabs>
          <w:tab w:val="num" w:pos="0"/>
        </w:tabs>
        <w:ind w:left="2509" w:hanging="180"/>
      </w:pPr>
      <w:rPr/>
    </w:lvl>
    <w:lvl w:ilvl="3">
      <w:start w:val="1"/>
      <w:numFmt w:val="decimal"/>
      <w:lvlText w:val="%4."/>
      <w:lvlJc w:val="left"/>
      <w:pPr>
        <w:tabs>
          <w:tab w:val="num" w:pos="0"/>
        </w:tabs>
        <w:ind w:left="3229" w:hanging="360"/>
      </w:pPr>
      <w:rPr/>
    </w:lvl>
    <w:lvl w:ilvl="4">
      <w:start w:val="1"/>
      <w:numFmt w:val="lowerLetter"/>
      <w:lvlText w:val="%5."/>
      <w:lvlJc w:val="left"/>
      <w:pPr>
        <w:tabs>
          <w:tab w:val="num" w:pos="0"/>
        </w:tabs>
        <w:ind w:left="3949" w:hanging="360"/>
      </w:pPr>
      <w:rPr/>
    </w:lvl>
    <w:lvl w:ilvl="5">
      <w:start w:val="1"/>
      <w:numFmt w:val="lowerRoman"/>
      <w:lvlText w:val="%6."/>
      <w:lvlJc w:val="right"/>
      <w:pPr>
        <w:tabs>
          <w:tab w:val="num" w:pos="0"/>
        </w:tabs>
        <w:ind w:left="4669" w:hanging="180"/>
      </w:pPr>
      <w:rPr/>
    </w:lvl>
    <w:lvl w:ilvl="6">
      <w:start w:val="1"/>
      <w:numFmt w:val="decimal"/>
      <w:lvlText w:val="%7."/>
      <w:lvlJc w:val="left"/>
      <w:pPr>
        <w:tabs>
          <w:tab w:val="num" w:pos="0"/>
        </w:tabs>
        <w:ind w:left="5389" w:hanging="360"/>
      </w:pPr>
      <w:rPr/>
    </w:lvl>
    <w:lvl w:ilvl="7">
      <w:start w:val="1"/>
      <w:numFmt w:val="lowerLetter"/>
      <w:lvlText w:val="%8."/>
      <w:lvlJc w:val="left"/>
      <w:pPr>
        <w:tabs>
          <w:tab w:val="num" w:pos="0"/>
        </w:tabs>
        <w:ind w:left="6109" w:hanging="360"/>
      </w:pPr>
      <w:rPr/>
    </w:lvl>
    <w:lvl w:ilvl="8">
      <w:start w:val="1"/>
      <w:numFmt w:val="lowerRoman"/>
      <w:lvlText w:val="%9."/>
      <w:lvlJc w:val="right"/>
      <w:pPr>
        <w:tabs>
          <w:tab w:val="num" w:pos="0"/>
        </w:tabs>
        <w:ind w:left="6829" w:hanging="18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20"/>
  <w:defaultTabStop w:val="17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vi-VN"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Calibri" w:cs="Times New Roman"/>
        <w:lang w:val="vi-VN" w:eastAsia="vi-VN"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91168"/>
    <w:pPr>
      <w:widowControl/>
      <w:suppressAutoHyphens w:val="true"/>
      <w:bidi w:val="0"/>
      <w:spacing w:lineRule="auto" w:line="276" w:before="0" w:after="200"/>
      <w:jc w:val="left"/>
    </w:pPr>
    <w:rPr>
      <w:rFonts w:ascii="Times New Roman" w:hAnsi="Times New Roman" w:eastAsia="Calibri" w:cs="Times New Roman"/>
      <w:color w:val="auto"/>
      <w:kern w:val="0"/>
      <w:sz w:val="22"/>
      <w:szCs w:val="22"/>
      <w:lang w:eastAsia="zh-CN" w:val="vi-VN" w:bidi="ar-SA"/>
    </w:rPr>
  </w:style>
  <w:style w:type="paragraph" w:styleId="Heading1">
    <w:name w:val="heading 1"/>
    <w:basedOn w:val="Normal"/>
    <w:next w:val="Normal"/>
    <w:link w:val="Heading1Char"/>
    <w:uiPriority w:val="9"/>
    <w:qFormat/>
    <w:rsid w:val="003333a7"/>
    <w:pPr>
      <w:keepNext w:val="true"/>
      <w:keepLines/>
      <w:spacing w:before="240" w:after="0"/>
      <w:outlineLvl w:val="0"/>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2">
    <w:name w:val="heading 2"/>
    <w:basedOn w:val="Normal"/>
    <w:next w:val="Normal"/>
    <w:link w:val="Heading2Char1"/>
    <w:qFormat/>
    <w:rsid w:val="00c6085c"/>
    <w:pPr>
      <w:keepNext w:val="true"/>
      <w:suppressAutoHyphens w:val="false"/>
      <w:spacing w:lineRule="auto" w:line="240" w:before="240" w:after="60"/>
      <w:outlineLvl w:val="1"/>
    </w:pPr>
    <w:rPr>
      <w:rFonts w:ascii="Arial" w:hAnsi="Arial" w:eastAsia="Times New Roman"/>
      <w:b/>
      <w:bCs/>
      <w:i/>
      <w:iCs/>
      <w:sz w:val="20"/>
      <w:szCs w:val="20"/>
    </w:rPr>
  </w:style>
  <w:style w:type="paragraph" w:styleId="Heading3">
    <w:name w:val="heading 3"/>
    <w:basedOn w:val="Normal"/>
    <w:next w:val="Normal"/>
    <w:link w:val="Heading3Char"/>
    <w:uiPriority w:val="9"/>
    <w:semiHidden/>
    <w:unhideWhenUsed/>
    <w:qFormat/>
    <w:rsid w:val="009140b1"/>
    <w:pPr>
      <w:keepNext w:val="true"/>
      <w:keepLines/>
      <w:spacing w:before="40" w:after="0"/>
      <w:outlineLvl w:val="2"/>
    </w:pPr>
    <w:rPr>
      <w:rFonts w:ascii="Aptos Display" w:hAnsi="Aptos Display" w:eastAsia="" w:cs="" w:asciiTheme="majorHAnsi" w:cstheme="majorBidi" w:eastAsiaTheme="majorEastAsia" w:hAnsiTheme="majorHAnsi"/>
      <w:color w:themeColor="accent1" w:themeShade="7f" w:val="0A2F40"/>
      <w:sz w:val="24"/>
      <w:szCs w:val="24"/>
    </w:rPr>
  </w:style>
  <w:style w:type="character" w:styleId="DefaultParagraphFont" w:default="1">
    <w:name w:val="Default Paragraph Font"/>
    <w:uiPriority w:val="1"/>
    <w:semiHidden/>
    <w:unhideWhenUsed/>
    <w:qFormat/>
    <w:rPr/>
  </w:style>
  <w:style w:type="character" w:styleId="Heading2Char" w:customStyle="1">
    <w:name w:val="Heading 2 Char"/>
    <w:uiPriority w:val="9"/>
    <w:semiHidden/>
    <w:qFormat/>
    <w:rsid w:val="00c6085c"/>
    <w:rPr>
      <w:rFonts w:ascii="Cambria" w:hAnsi="Cambria" w:eastAsia="Times New Roman" w:cs="Times New Roman"/>
      <w:b/>
      <w:bCs/>
      <w:color w:val="4F81BD"/>
      <w:sz w:val="26"/>
      <w:szCs w:val="26"/>
      <w:lang w:eastAsia="zh-CN"/>
    </w:rPr>
  </w:style>
  <w:style w:type="character" w:styleId="WW8Num1z3" w:customStyle="1">
    <w:name w:val="WW8Num1z3"/>
    <w:qFormat/>
    <w:rsid w:val="00c6085c"/>
    <w:rPr/>
  </w:style>
  <w:style w:type="character" w:styleId="FootnoteCharactersuser" w:customStyle="1">
    <w:name w:val="Footnote Characters (user)"/>
    <w:qFormat/>
    <w:rsid w:val="00c6085c"/>
    <w:rPr>
      <w:vertAlign w:val="superscript"/>
    </w:rPr>
  </w:style>
  <w:style w:type="character" w:styleId="Strong">
    <w:name w:val="Strong"/>
    <w:qFormat/>
    <w:rsid w:val="00c6085c"/>
    <w:rPr>
      <w:b/>
      <w:bCs/>
    </w:rPr>
  </w:style>
  <w:style w:type="character" w:styleId="FootnoteCharacters">
    <w:name w:val="Footnote Characters"/>
    <w:link w:val="RefChar"/>
    <w:uiPriority w:val="99"/>
    <w:qFormat/>
    <w:rsid w:val="00c6085c"/>
    <w:rPr>
      <w:vertAlign w:val="superscript"/>
    </w:rPr>
  </w:style>
  <w:style w:type="character" w:styleId="FootnoteReference">
    <w:name w:val="footnote reference"/>
    <w:rPr>
      <w:vertAlign w:val="superscript"/>
    </w:rPr>
  </w:style>
  <w:style w:type="character" w:styleId="FootnoteTextChar" w:customStyle="1">
    <w:name w:val="Footnote Text Char"/>
    <w:link w:val="FootnoteText"/>
    <w:uiPriority w:val="99"/>
    <w:qFormat/>
    <w:rsid w:val="00c6085c"/>
    <w:rPr>
      <w:rFonts w:ascii="Calibri" w:hAnsi="Calibri" w:eastAsia="Calibri" w:cs="Times New Roman"/>
      <w:sz w:val="20"/>
      <w:szCs w:val="20"/>
      <w:lang w:eastAsia="zh-CN"/>
    </w:rPr>
  </w:style>
  <w:style w:type="character" w:styleId="HeaderChar" w:customStyle="1">
    <w:name w:val="Header Char"/>
    <w:link w:val="Header"/>
    <w:uiPriority w:val="99"/>
    <w:qFormat/>
    <w:rsid w:val="00c6085c"/>
    <w:rPr>
      <w:rFonts w:ascii="Calibri" w:hAnsi="Calibri" w:eastAsia="Calibri" w:cs="Times New Roman"/>
      <w:sz w:val="22"/>
      <w:lang w:eastAsia="zh-CN"/>
    </w:rPr>
  </w:style>
  <w:style w:type="character" w:styleId="normal-h1" w:customStyle="1">
    <w:name w:val="normal-h1"/>
    <w:qFormat/>
    <w:rsid w:val="00c6085c"/>
    <w:rPr>
      <w:rFonts w:ascii="Times New Roman" w:hAnsi="Times New Roman" w:cs="Times New Roman"/>
      <w:sz w:val="28"/>
      <w:szCs w:val="28"/>
    </w:rPr>
  </w:style>
  <w:style w:type="character" w:styleId="heading1-h1" w:customStyle="1">
    <w:name w:val="heading1-h1"/>
    <w:qFormat/>
    <w:rsid w:val="00c6085c"/>
    <w:rPr>
      <w:rFonts w:ascii=".VnTimeH" w:hAnsi=".VnTimeH"/>
      <w:b/>
      <w:bCs/>
      <w:sz w:val="24"/>
      <w:szCs w:val="24"/>
    </w:rPr>
  </w:style>
  <w:style w:type="character" w:styleId="Heading2Char1" w:customStyle="1">
    <w:name w:val="Heading 2 Char1"/>
    <w:link w:val="Heading2"/>
    <w:qFormat/>
    <w:rsid w:val="00c6085c"/>
    <w:rPr>
      <w:rFonts w:ascii="Arial" w:hAnsi="Arial" w:eastAsia="Times New Roman" w:cs="Times New Roman"/>
      <w:b/>
      <w:bCs/>
      <w:i/>
      <w:iCs/>
      <w:sz w:val="20"/>
      <w:szCs w:val="20"/>
    </w:rPr>
  </w:style>
  <w:style w:type="character" w:styleId="n-dieund-h1" w:customStyle="1">
    <w:name w:val="n-dieund-h1"/>
    <w:qFormat/>
    <w:rsid w:val="00c6085c"/>
    <w:rPr>
      <w:rFonts w:ascii=".VnTime" w:hAnsi=".VnTime"/>
      <w:sz w:val="28"/>
      <w:szCs w:val="28"/>
    </w:rPr>
  </w:style>
  <w:style w:type="character" w:styleId="PageNumber">
    <w:name w:val="page number"/>
    <w:rsid w:val="00c6085c"/>
    <w:rPr/>
  </w:style>
  <w:style w:type="character" w:styleId="FooterChar" w:customStyle="1">
    <w:name w:val="Footer Char"/>
    <w:link w:val="Footer"/>
    <w:uiPriority w:val="99"/>
    <w:qFormat/>
    <w:rsid w:val="00c6085c"/>
    <w:rPr>
      <w:rFonts w:ascii="Calibri" w:hAnsi="Calibri" w:eastAsia="Calibri" w:cs="Times New Roman"/>
      <w:sz w:val="22"/>
      <w:lang w:eastAsia="zh-CN"/>
    </w:rPr>
  </w:style>
  <w:style w:type="character" w:styleId="normal-p-h1" w:customStyle="1">
    <w:name w:val="normal-p-h1"/>
    <w:qFormat/>
    <w:rsid w:val="00c6085c"/>
    <w:rPr>
      <w:rFonts w:ascii="Times New Roman" w:hAnsi="Times New Roman" w:cs="Times New Roman"/>
      <w:sz w:val="20"/>
      <w:szCs w:val="20"/>
    </w:rPr>
  </w:style>
  <w:style w:type="character" w:styleId="dieuChar" w:customStyle="1">
    <w:name w:val="dieu Char"/>
    <w:link w:val="dieu"/>
    <w:qFormat/>
    <w:rsid w:val="00134555"/>
    <w:rPr>
      <w:rFonts w:eastAsia="MS Mincho"/>
      <w:bCs/>
      <w:iCs/>
      <w:color w:val="000000"/>
      <w:spacing w:val="24"/>
      <w:sz w:val="26"/>
      <w:szCs w:val="26"/>
      <w:lang w:eastAsia="ja-JP"/>
    </w:rPr>
  </w:style>
  <w:style w:type="character" w:styleId="TitleChar" w:customStyle="1">
    <w:name w:val="Title Char"/>
    <w:link w:val="Title"/>
    <w:qFormat/>
    <w:rsid w:val="00c6085c"/>
    <w:rPr>
      <w:rFonts w:ascii=".VnTimeH" w:hAnsi=".VnTimeH" w:eastAsia="MS Mincho" w:cs="Times New Roman"/>
      <w:b/>
      <w:bCs/>
      <w:sz w:val="32"/>
      <w:szCs w:val="32"/>
    </w:rPr>
  </w:style>
  <w:style w:type="character" w:styleId="BalloonTextChar" w:customStyle="1">
    <w:name w:val="Balloon Text Char"/>
    <w:link w:val="BalloonText"/>
    <w:uiPriority w:val="99"/>
    <w:semiHidden/>
    <w:qFormat/>
    <w:rsid w:val="00c6085c"/>
    <w:rPr>
      <w:rFonts w:ascii="Tahoma" w:hAnsi="Tahoma" w:eastAsia="Calibri" w:cs="Tahoma"/>
      <w:sz w:val="16"/>
      <w:szCs w:val="16"/>
      <w:lang w:eastAsia="zh-CN"/>
    </w:rPr>
  </w:style>
  <w:style w:type="character" w:styleId="CommentReference">
    <w:name w:val="annotation reference"/>
    <w:uiPriority w:val="99"/>
    <w:semiHidden/>
    <w:unhideWhenUsed/>
    <w:qFormat/>
    <w:rsid w:val="00853d94"/>
    <w:rPr>
      <w:sz w:val="16"/>
      <w:szCs w:val="16"/>
    </w:rPr>
  </w:style>
  <w:style w:type="character" w:styleId="CommentTextChar" w:customStyle="1">
    <w:name w:val="Comment Text Char"/>
    <w:link w:val="CommentText"/>
    <w:uiPriority w:val="99"/>
    <w:qFormat/>
    <w:rsid w:val="00853d94"/>
    <w:rPr>
      <w:rFonts w:ascii="Calibri" w:hAnsi="Calibri"/>
      <w:lang w:eastAsia="zh-CN"/>
    </w:rPr>
  </w:style>
  <w:style w:type="character" w:styleId="CommentSubjectChar" w:customStyle="1">
    <w:name w:val="Comment Subject Char"/>
    <w:link w:val="annotationsubject"/>
    <w:uiPriority w:val="99"/>
    <w:semiHidden/>
    <w:qFormat/>
    <w:rsid w:val="00853d94"/>
    <w:rPr>
      <w:rFonts w:ascii="Calibri" w:hAnsi="Calibri"/>
      <w:b/>
      <w:bCs/>
      <w:lang w:eastAsia="zh-CN"/>
    </w:rPr>
  </w:style>
  <w:style w:type="character" w:styleId="BodyTextChar" w:customStyle="1">
    <w:name w:val="Body Text Char"/>
    <w:qFormat/>
    <w:rsid w:val="008d7963"/>
    <w:rPr>
      <w:rFonts w:eastAsia="Times New Roman"/>
      <w:bCs/>
      <w:sz w:val="28"/>
      <w:szCs w:val="28"/>
    </w:rPr>
  </w:style>
  <w:style w:type="character" w:styleId="Heading3Char" w:customStyle="1">
    <w:name w:val="Heading 3 Char"/>
    <w:basedOn w:val="DefaultParagraphFont"/>
    <w:link w:val="Heading3"/>
    <w:uiPriority w:val="9"/>
    <w:qFormat/>
    <w:rsid w:val="009140b1"/>
    <w:rPr>
      <w:rFonts w:ascii="Aptos Display" w:hAnsi="Aptos Display" w:eastAsia="" w:cs="" w:asciiTheme="majorHAnsi" w:cstheme="majorBidi" w:eastAsiaTheme="majorEastAsia" w:hAnsiTheme="majorHAnsi"/>
      <w:color w:themeColor="accent1" w:themeShade="7f" w:val="0A2F40"/>
      <w:sz w:val="24"/>
      <w:szCs w:val="24"/>
      <w:lang w:val="en-US" w:eastAsia="zh-CN"/>
    </w:rPr>
  </w:style>
  <w:style w:type="character" w:styleId="Hyperlink">
    <w:name w:val="Hyperlink"/>
    <w:basedOn w:val="DefaultParagraphFont"/>
    <w:uiPriority w:val="99"/>
    <w:unhideWhenUsed/>
    <w:rsid w:val="00f60478"/>
    <w:rPr>
      <w:color w:val="0000FF"/>
      <w:u w:val="single"/>
    </w:rPr>
  </w:style>
  <w:style w:type="character" w:styleId="Ky2Char" w:customStyle="1">
    <w:name w:val="Ky 2 Char"/>
    <w:link w:val="Ky2"/>
    <w:qFormat/>
    <w:rsid w:val="00bc4718"/>
    <w:rPr>
      <w:rFonts w:eastAsia="Times New Roman"/>
      <w:b/>
      <w:i/>
      <w:sz w:val="28"/>
      <w:szCs w:val="24"/>
      <w:lang w:val="en-US" w:eastAsia="en-US"/>
    </w:rPr>
  </w:style>
  <w:style w:type="character" w:styleId="2012Char" w:customStyle="1">
    <w:name w:val="2012 Char"/>
    <w:link w:val="2012"/>
    <w:qFormat/>
    <w:rsid w:val="00bc4718"/>
    <w:rPr>
      <w:rFonts w:eastAsia="Times New Roman"/>
      <w:sz w:val="28"/>
      <w:szCs w:val="24"/>
      <w:lang w:val="en-US" w:eastAsia="en-US"/>
    </w:rPr>
  </w:style>
  <w:style w:type="character" w:styleId="NOIDUNGChar" w:customStyle="1">
    <w:name w:val="NOI DUNG Char"/>
    <w:link w:val="NOIDUNG"/>
    <w:qFormat/>
    <w:rsid w:val="00bc4718"/>
    <w:rPr>
      <w:rFonts w:eastAsia="Times New Roman"/>
      <w:sz w:val="28"/>
      <w:szCs w:val="24"/>
    </w:rPr>
  </w:style>
  <w:style w:type="character" w:styleId="K1Char" w:customStyle="1">
    <w:name w:val="Kỳ 1 Char"/>
    <w:link w:val="K1"/>
    <w:qFormat/>
    <w:rsid w:val="00bc4718"/>
    <w:rPr>
      <w:rFonts w:eastAsia="Times New Roman"/>
      <w:i/>
      <w:sz w:val="28"/>
      <w:szCs w:val="24"/>
      <w:lang w:val="en-US" w:eastAsia="en-US"/>
    </w:rPr>
  </w:style>
  <w:style w:type="character" w:styleId="NormalWebChar" w:customStyle="1">
    <w:name w:val="Normal (Web) Char"/>
    <w:link w:val="NormalWeb"/>
    <w:uiPriority w:val="99"/>
    <w:qFormat/>
    <w:locked/>
    <w:rsid w:val="00792edf"/>
    <w:rPr>
      <w:rFonts w:eastAsia="Times New Roman"/>
      <w:sz w:val="24"/>
      <w:szCs w:val="24"/>
      <w:lang w:val="en-US" w:eastAsia="zh-CN"/>
    </w:rPr>
  </w:style>
  <w:style w:type="character" w:styleId="HChar" w:customStyle="1">
    <w:name w:val="Hà Char"/>
    <w:link w:val="H"/>
    <w:qFormat/>
    <w:rsid w:val="00030b20"/>
    <w:rPr>
      <w:rFonts w:ascii="Times New Roman Bold" w:hAnsi="Times New Roman Bold" w:eastAsia="Times New Roman"/>
      <w:b/>
      <w:bCs/>
      <w:spacing w:val="-10"/>
      <w:sz w:val="28"/>
      <w:szCs w:val="28"/>
    </w:rPr>
  </w:style>
  <w:style w:type="character" w:styleId="CharChar8" w:customStyle="1">
    <w:name w:val="Char Char8"/>
    <w:qFormat/>
    <w:rsid w:val="001140cf"/>
    <w:rPr>
      <w:b/>
      <w:bCs/>
      <w:sz w:val="16"/>
      <w:szCs w:val="24"/>
      <w:lang w:val="en-US" w:eastAsia="en-US" w:bidi="ar-SA"/>
    </w:rPr>
  </w:style>
  <w:style w:type="character" w:styleId="ListParagraphChar" w:customStyle="1">
    <w:name w:val="List Paragraph Char"/>
    <w:link w:val="ListParagraph1"/>
    <w:uiPriority w:val="34"/>
    <w:qFormat/>
    <w:rsid w:val="00a96777"/>
    <w:rPr>
      <w:rFonts w:ascii="Calibri" w:hAnsi="Calibri"/>
      <w:sz w:val="22"/>
      <w:szCs w:val="22"/>
      <w:lang w:val="en-US" w:eastAsia="en-US"/>
    </w:rPr>
  </w:style>
  <w:style w:type="character" w:styleId="BodyTextIndentChar" w:customStyle="1">
    <w:name w:val="Body Text Indent Char"/>
    <w:basedOn w:val="DefaultParagraphFont"/>
    <w:uiPriority w:val="99"/>
    <w:semiHidden/>
    <w:qFormat/>
    <w:rsid w:val="00d213a8"/>
    <w:rPr>
      <w:rFonts w:ascii="Calibri" w:hAnsi="Calibri"/>
      <w:sz w:val="22"/>
      <w:szCs w:val="22"/>
      <w:lang w:val="en-US" w:eastAsia="zh-CN"/>
    </w:rPr>
  </w:style>
  <w:style w:type="character" w:styleId="Heading1Char" w:customStyle="1">
    <w:name w:val="Heading 1 Char"/>
    <w:basedOn w:val="DefaultParagraphFont"/>
    <w:link w:val="Heading1"/>
    <w:uiPriority w:val="9"/>
    <w:qFormat/>
    <w:rsid w:val="003333a7"/>
    <w:rPr>
      <w:rFonts w:ascii="Aptos Display" w:hAnsi="Aptos Display" w:eastAsia="" w:cs="" w:asciiTheme="majorHAnsi" w:cstheme="majorBidi" w:eastAsiaTheme="majorEastAsia" w:hAnsiTheme="majorHAnsi"/>
      <w:color w:themeColor="accent1" w:themeShade="bf" w:val="0F4761"/>
      <w:sz w:val="32"/>
      <w:szCs w:val="32"/>
      <w:lang w:val="en-US" w:eastAsia="zh-CN"/>
    </w:rPr>
  </w:style>
  <w:style w:type="character" w:styleId="UnresolvedMention1" w:customStyle="1">
    <w:name w:val="Unresolved Mention1"/>
    <w:basedOn w:val="DefaultParagraphFont"/>
    <w:uiPriority w:val="99"/>
    <w:semiHidden/>
    <w:unhideWhenUsed/>
    <w:qFormat/>
    <w:rsid w:val="000c4cd9"/>
    <w:rPr>
      <w:color w:val="605E5C"/>
      <w:shd w:fill="E1DFDD" w:val="clear"/>
    </w:rPr>
  </w:style>
  <w:style w:type="character" w:styleId="apple-converted-space" w:customStyle="1">
    <w:name w:val="apple-converted-space"/>
    <w:basedOn w:val="DefaultParagraphFont"/>
    <w:qFormat/>
    <w:rsid w:val="001140cf"/>
    <w:rPr/>
  </w:style>
  <w:style w:type="character" w:styleId="UnresolvedMention2" w:customStyle="1">
    <w:name w:val="Unresolved Mention2"/>
    <w:basedOn w:val="DefaultParagraphFont"/>
    <w:uiPriority w:val="99"/>
    <w:semiHidden/>
    <w:unhideWhenUsed/>
    <w:qFormat/>
    <w:rsid w:val="007d3686"/>
    <w:rPr>
      <w:color w:val="605E5C"/>
      <w:shd w:fill="E1DFDD" w:val="clear"/>
    </w:rPr>
  </w:style>
  <w:style w:type="character" w:styleId="fontstyle01" w:customStyle="1">
    <w:name w:val="fontstyle01"/>
    <w:basedOn w:val="DefaultParagraphFont"/>
    <w:qFormat/>
    <w:rsid w:val="00701550"/>
    <w:rPr>
      <w:rFonts w:ascii="TimesNewRomanPSMT" w:hAnsi="TimesNewRomanPSMT"/>
      <w:b w:val="false"/>
      <w:bCs w:val="false"/>
      <w:i w:val="false"/>
      <w:iCs w:val="false"/>
      <w:color w:val="000000"/>
      <w:sz w:val="28"/>
      <w:szCs w:val="28"/>
    </w:rPr>
  </w:style>
  <w:style w:type="character" w:styleId="BodyTextIndent2Char" w:customStyle="1">
    <w:name w:val="Body Text Indent 2 Char"/>
    <w:basedOn w:val="DefaultParagraphFont"/>
    <w:link w:val="BodyTextIndent2"/>
    <w:uiPriority w:val="99"/>
    <w:qFormat/>
    <w:rsid w:val="00bd75c5"/>
    <w:rPr>
      <w:sz w:val="22"/>
      <w:szCs w:val="22"/>
      <w:lang w:val="en-US" w:eastAsia="zh-CN"/>
    </w:rPr>
  </w:style>
  <w:style w:type="character" w:styleId="UnresolvedMention3" w:customStyle="1">
    <w:name w:val="Unresolved Mention3"/>
    <w:basedOn w:val="DefaultParagraphFont"/>
    <w:uiPriority w:val="99"/>
    <w:semiHidden/>
    <w:unhideWhenUsed/>
    <w:qFormat/>
    <w:rsid w:val="002058fd"/>
    <w:rPr>
      <w:color w:val="605E5C"/>
      <w:shd w:fill="E1DFDD" w:val="clear"/>
    </w:rPr>
  </w:style>
  <w:style w:type="character" w:styleId="BodyText1" w:customStyle="1">
    <w:name w:val="Body Text1"/>
    <w:qFormat/>
    <w:rsid w:val="008a4a23"/>
    <w:rPr>
      <w:rFonts w:ascii="Times New Roman" w:hAnsi="Times New Roman" w:eastAsia="Times New Roman" w:cs="Times New Roman"/>
      <w:b w:val="false"/>
      <w:bCs w:val="false"/>
      <w:i w:val="false"/>
      <w:iCs w:val="false"/>
      <w:caps w:val="false"/>
      <w:smallCaps w:val="false"/>
      <w:strike w:val="false"/>
      <w:dstrike w:val="false"/>
      <w:color w:val="000000"/>
      <w:spacing w:val="10"/>
      <w:w w:val="100"/>
      <w:sz w:val="25"/>
      <w:szCs w:val="25"/>
      <w:u w:val="none"/>
      <w:effect w:val="none"/>
      <w:lang w:val="vi-V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BodyTextChar"/>
    <w:rsid w:val="008d7963"/>
    <w:pPr>
      <w:suppressAutoHyphens w:val="false"/>
      <w:spacing w:lineRule="exact" w:line="360" w:before="0" w:after="0"/>
      <w:jc w:val="both"/>
    </w:pPr>
    <w:rPr>
      <w:rFonts w:eastAsia="Times New Roman"/>
      <w:bCs/>
      <w:sz w:val="28"/>
      <w:szCs w:val="28"/>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FootnoteText">
    <w:name w:val="footnote text"/>
    <w:basedOn w:val="Normal"/>
    <w:link w:val="FootnoteTextChar"/>
    <w:uiPriority w:val="99"/>
    <w:qFormat/>
    <w:rsid w:val="00c6085c"/>
    <w:pPr>
      <w:spacing w:lineRule="auto" w:line="240" w:before="0" w:after="0"/>
    </w:pPr>
    <w:rPr>
      <w:sz w:val="20"/>
      <w:szCs w:val="20"/>
    </w:rPr>
  </w:style>
  <w:style w:type="paragraph" w:styleId="NormalWeb">
    <w:name w:val="Normal (Web)"/>
    <w:basedOn w:val="Normal"/>
    <w:link w:val="NormalWebChar"/>
    <w:uiPriority w:val="99"/>
    <w:qFormat/>
    <w:rsid w:val="00c6085c"/>
    <w:pPr>
      <w:spacing w:lineRule="auto" w:line="240" w:before="280" w:after="280"/>
    </w:pPr>
    <w:rPr>
      <w:rFonts w:eastAsia="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rsid w:val="00c6085c"/>
    <w:pPr>
      <w:tabs>
        <w:tab w:val="clear" w:pos="170"/>
        <w:tab w:val="center" w:pos="4680" w:leader="none"/>
        <w:tab w:val="right" w:pos="9360" w:leader="none"/>
      </w:tabs>
    </w:pPr>
    <w:rPr>
      <w:szCs w:val="20"/>
    </w:rPr>
  </w:style>
  <w:style w:type="paragraph" w:styleId="n-dieund-p" w:customStyle="1">
    <w:name w:val="n-dieund-p"/>
    <w:basedOn w:val="Normal"/>
    <w:qFormat/>
    <w:rsid w:val="00c6085c"/>
    <w:pPr>
      <w:suppressAutoHyphens w:val="false"/>
      <w:spacing w:lineRule="auto" w:line="240" w:before="0" w:after="0"/>
      <w:jc w:val="both"/>
    </w:pPr>
    <w:rPr>
      <w:rFonts w:eastAsia="Times New Roman"/>
      <w:sz w:val="20"/>
      <w:szCs w:val="20"/>
      <w:lang w:eastAsia="en-US"/>
    </w:rPr>
  </w:style>
  <w:style w:type="paragraph" w:styleId="normal-p-p" w:customStyle="1">
    <w:name w:val="normal-p-p"/>
    <w:basedOn w:val="Normal"/>
    <w:qFormat/>
    <w:rsid w:val="00c6085c"/>
    <w:pPr>
      <w:suppressAutoHyphens w:val="false"/>
      <w:overflowPunct w:val="true"/>
      <w:spacing w:lineRule="auto" w:line="240" w:before="0" w:after="0"/>
      <w:jc w:val="both"/>
      <w:textAlignment w:val="baseline"/>
    </w:pPr>
    <w:rPr>
      <w:rFonts w:eastAsia="Times New Roman"/>
      <w:sz w:val="20"/>
      <w:szCs w:val="20"/>
      <w:lang w:eastAsia="en-US"/>
    </w:rPr>
  </w:style>
  <w:style w:type="paragraph" w:styleId="normal-p" w:customStyle="1">
    <w:name w:val="normal-p"/>
    <w:basedOn w:val="Normal"/>
    <w:qFormat/>
    <w:rsid w:val="00c6085c"/>
    <w:pPr>
      <w:suppressAutoHyphens w:val="false"/>
      <w:spacing w:lineRule="auto" w:line="240" w:before="0" w:after="0"/>
    </w:pPr>
    <w:rPr>
      <w:rFonts w:eastAsia="Times New Roman"/>
      <w:sz w:val="20"/>
      <w:szCs w:val="20"/>
      <w:lang w:eastAsia="en-US"/>
    </w:rPr>
  </w:style>
  <w:style w:type="paragraph" w:styleId="Footer">
    <w:name w:val="footer"/>
    <w:basedOn w:val="Normal"/>
    <w:link w:val="FooterChar"/>
    <w:uiPriority w:val="99"/>
    <w:unhideWhenUsed/>
    <w:rsid w:val="00c6085c"/>
    <w:pPr>
      <w:tabs>
        <w:tab w:val="clear" w:pos="170"/>
        <w:tab w:val="center" w:pos="4680" w:leader="none"/>
        <w:tab w:val="right" w:pos="9360" w:leader="none"/>
      </w:tabs>
      <w:spacing w:lineRule="auto" w:line="240" w:before="0" w:after="0"/>
    </w:pPr>
    <w:rPr>
      <w:szCs w:val="20"/>
    </w:rPr>
  </w:style>
  <w:style w:type="paragraph" w:styleId="dieu" w:customStyle="1">
    <w:name w:val="dieu"/>
    <w:basedOn w:val="Normal"/>
    <w:link w:val="dieuChar"/>
    <w:autoRedefine/>
    <w:qFormat/>
    <w:rsid w:val="00134555"/>
    <w:pPr>
      <w:suppressAutoHyphens w:val="false"/>
      <w:spacing w:lineRule="auto" w:line="240" w:before="160" w:after="160"/>
      <w:ind w:firstLine="720"/>
    </w:pPr>
    <w:rPr>
      <w:rFonts w:eastAsia="MS Mincho"/>
      <w:bCs/>
      <w:iCs/>
      <w:color w:val="000000"/>
      <w:spacing w:val="24"/>
      <w:sz w:val="26"/>
      <w:szCs w:val="26"/>
      <w:lang w:eastAsia="ja-JP"/>
    </w:rPr>
  </w:style>
  <w:style w:type="paragraph" w:styleId="Title">
    <w:name w:val="Title"/>
    <w:basedOn w:val="Normal"/>
    <w:link w:val="TitleChar"/>
    <w:qFormat/>
    <w:rsid w:val="00c6085c"/>
    <w:pPr>
      <w:suppressAutoHyphens w:val="false"/>
      <w:spacing w:lineRule="auto" w:line="240" w:before="120" w:after="320"/>
      <w:jc w:val="center"/>
    </w:pPr>
    <w:rPr>
      <w:rFonts w:ascii=".VnTimeH" w:hAnsi=".VnTimeH" w:eastAsia="MS Mincho"/>
      <w:b/>
      <w:bCs/>
      <w:sz w:val="32"/>
      <w:szCs w:val="32"/>
    </w:rPr>
  </w:style>
  <w:style w:type="paragraph" w:styleId="BalloonText">
    <w:name w:val="Balloon Text"/>
    <w:basedOn w:val="Normal"/>
    <w:link w:val="BalloonTextChar"/>
    <w:uiPriority w:val="99"/>
    <w:semiHidden/>
    <w:unhideWhenUsed/>
    <w:qFormat/>
    <w:rsid w:val="00c6085c"/>
    <w:pPr>
      <w:spacing w:lineRule="auto" w:line="240" w:before="0" w:after="0"/>
    </w:pPr>
    <w:rPr>
      <w:rFonts w:ascii="Tahoma" w:hAnsi="Tahoma"/>
      <w:sz w:val="16"/>
      <w:szCs w:val="16"/>
    </w:rPr>
  </w:style>
  <w:style w:type="paragraph" w:styleId="ListParagraph">
    <w:name w:val="List Paragraph"/>
    <w:basedOn w:val="Normal"/>
    <w:uiPriority w:val="34"/>
    <w:qFormat/>
    <w:rsid w:val="006f3061"/>
    <w:pPr>
      <w:spacing w:before="0" w:after="200"/>
      <w:ind w:left="720"/>
      <w:contextualSpacing/>
    </w:pPr>
    <w:rPr/>
  </w:style>
  <w:style w:type="paragraph" w:styleId="CommentText">
    <w:name w:val="annotation text"/>
    <w:basedOn w:val="Normal"/>
    <w:link w:val="CommentTextChar"/>
    <w:uiPriority w:val="99"/>
    <w:unhideWhenUsed/>
    <w:rsid w:val="00853d94"/>
    <w:pPr/>
    <w:rPr>
      <w:sz w:val="20"/>
      <w:szCs w:val="20"/>
    </w:rPr>
  </w:style>
  <w:style w:type="paragraph" w:styleId="annotationsubject">
    <w:name w:val="annotation subject"/>
    <w:basedOn w:val="CommentText"/>
    <w:next w:val="CommentText"/>
    <w:link w:val="CommentSubjectChar"/>
    <w:uiPriority w:val="99"/>
    <w:semiHidden/>
    <w:unhideWhenUsed/>
    <w:qFormat/>
    <w:rsid w:val="00853d94"/>
    <w:pPr/>
    <w:rPr>
      <w:b/>
      <w:bCs/>
    </w:rPr>
  </w:style>
  <w:style w:type="paragraph" w:styleId="Revision">
    <w:name w:val="Revision"/>
    <w:uiPriority w:val="99"/>
    <w:semiHidden/>
    <w:qFormat/>
    <w:rsid w:val="00853d94"/>
    <w:pPr>
      <w:widowControl/>
      <w:bidi w:val="0"/>
      <w:spacing w:before="0" w:after="0"/>
      <w:jc w:val="left"/>
    </w:pPr>
    <w:rPr>
      <w:rFonts w:ascii="Calibri" w:hAnsi="Calibri" w:eastAsia="Calibri" w:cs="Times New Roman"/>
      <w:color w:val="auto"/>
      <w:kern w:val="0"/>
      <w:sz w:val="22"/>
      <w:szCs w:val="22"/>
      <w:lang w:val="en-US" w:eastAsia="zh-CN" w:bidi="ar-SA"/>
    </w:rPr>
  </w:style>
  <w:style w:type="paragraph" w:styleId="RefChar" w:customStyle="1">
    <w:name w:val="Ref Char"/>
    <w:basedOn w:val="Normal"/>
    <w:qFormat/>
    <w:rsid w:val="00ad4736"/>
    <w:pPr>
      <w:suppressAutoHyphens w:val="false"/>
      <w:spacing w:lineRule="exact" w:line="240" w:before="0" w:after="160"/>
    </w:pPr>
    <w:rPr>
      <w:sz w:val="20"/>
      <w:szCs w:val="20"/>
      <w:vertAlign w:val="superscript"/>
      <w:lang w:eastAsia="vi-VN"/>
    </w:rPr>
  </w:style>
  <w:style w:type="paragraph" w:styleId="ColorfulList-Accent11" w:customStyle="1">
    <w:name w:val="Colorful List - Accent 11"/>
    <w:basedOn w:val="Normal"/>
    <w:qFormat/>
    <w:rsid w:val="000228b4"/>
    <w:pPr>
      <w:suppressAutoHyphens w:val="false"/>
      <w:spacing w:lineRule="auto" w:line="240" w:before="0" w:after="0"/>
      <w:ind w:left="720"/>
      <w:contextualSpacing/>
    </w:pPr>
    <w:rPr>
      <w:rFonts w:ascii=".VnTime" w:hAnsi=".VnTime" w:eastAsia="Times New Roman"/>
      <w:sz w:val="28"/>
      <w:szCs w:val="28"/>
      <w:lang w:eastAsia="en-US"/>
    </w:rPr>
  </w:style>
  <w:style w:type="paragraph" w:styleId="Ky2" w:customStyle="1">
    <w:name w:val="Ky 2"/>
    <w:basedOn w:val="Normal"/>
    <w:link w:val="Ky2Char"/>
    <w:qFormat/>
    <w:rsid w:val="00bc4718"/>
    <w:pPr>
      <w:suppressAutoHyphens w:val="false"/>
      <w:spacing w:lineRule="auto" w:line="240" w:before="120" w:after="120"/>
      <w:ind w:firstLine="720"/>
      <w:jc w:val="both"/>
    </w:pPr>
    <w:rPr>
      <w:rFonts w:eastAsia="Times New Roman"/>
      <w:b/>
      <w:i/>
      <w:sz w:val="28"/>
      <w:szCs w:val="24"/>
      <w:lang w:eastAsia="en-US"/>
    </w:rPr>
  </w:style>
  <w:style w:type="paragraph" w:styleId="2012" w:customStyle="1">
    <w:name w:val="2012"/>
    <w:basedOn w:val="Normal"/>
    <w:link w:val="2012Char"/>
    <w:qFormat/>
    <w:rsid w:val="00bc4718"/>
    <w:pPr>
      <w:suppressAutoHyphens w:val="false"/>
      <w:spacing w:lineRule="auto" w:line="240" w:before="120" w:after="120"/>
      <w:ind w:firstLine="720"/>
      <w:jc w:val="both"/>
    </w:pPr>
    <w:rPr>
      <w:rFonts w:eastAsia="Times New Roman"/>
      <w:sz w:val="28"/>
      <w:szCs w:val="24"/>
      <w:lang w:eastAsia="en-US"/>
    </w:rPr>
  </w:style>
  <w:style w:type="paragraph" w:styleId="NOIDUNG" w:customStyle="1">
    <w:name w:val="NOI DUNG"/>
    <w:basedOn w:val="Normal"/>
    <w:link w:val="NOIDUNGChar"/>
    <w:qFormat/>
    <w:rsid w:val="00bc4718"/>
    <w:pPr>
      <w:keepNext w:val="true"/>
      <w:suppressAutoHyphens w:val="false"/>
      <w:spacing w:lineRule="auto" w:line="240" w:before="120" w:after="0"/>
      <w:ind w:firstLine="720"/>
      <w:jc w:val="both"/>
    </w:pPr>
    <w:rPr>
      <w:rFonts w:eastAsia="Times New Roman"/>
      <w:sz w:val="28"/>
      <w:szCs w:val="24"/>
    </w:rPr>
  </w:style>
  <w:style w:type="paragraph" w:styleId="K1" w:customStyle="1">
    <w:name w:val="Kỳ 1"/>
    <w:basedOn w:val="Normal"/>
    <w:link w:val="K1Char"/>
    <w:qFormat/>
    <w:rsid w:val="00bc4718"/>
    <w:pPr>
      <w:keepNext w:val="true"/>
      <w:suppressAutoHyphens w:val="false"/>
      <w:spacing w:lineRule="auto" w:line="240" w:before="120" w:after="120"/>
      <w:ind w:firstLine="720"/>
      <w:jc w:val="both"/>
    </w:pPr>
    <w:rPr>
      <w:rFonts w:eastAsia="Times New Roman"/>
      <w:i/>
      <w:sz w:val="28"/>
      <w:szCs w:val="24"/>
      <w:lang w:eastAsia="en-US"/>
    </w:rPr>
  </w:style>
  <w:style w:type="paragraph" w:styleId="113iu" w:customStyle="1">
    <w:name w:val="113. Điều"/>
    <w:basedOn w:val="Heading3"/>
    <w:autoRedefine/>
    <w:qFormat/>
    <w:rsid w:val="00bc4718"/>
    <w:pPr>
      <w:keepNext w:val="false"/>
      <w:keepLines w:val="false"/>
      <w:widowControl w:val="false"/>
      <w:suppressAutoHyphens w:val="false"/>
      <w:spacing w:lineRule="auto" w:line="240" w:before="240" w:after="100"/>
      <w:ind w:firstLine="709"/>
      <w:jc w:val="both"/>
    </w:pPr>
    <w:rPr>
      <w:rFonts w:ascii="Times New Roman Bold" w:hAnsi="Times New Roman Bold" w:eastAsia="Times" w:cs="Times New Roman"/>
      <w:b/>
      <w:bCs/>
      <w:color w:val="auto"/>
      <w:spacing w:val="-4"/>
      <w:kern w:val="2"/>
      <w:sz w:val="28"/>
      <w:szCs w:val="28"/>
    </w:rPr>
  </w:style>
  <w:style w:type="paragraph" w:styleId="H" w:customStyle="1">
    <w:name w:val="Hà"/>
    <w:basedOn w:val="Normal"/>
    <w:link w:val="HChar"/>
    <w:qFormat/>
    <w:rsid w:val="00030b20"/>
    <w:pPr>
      <w:widowControl w:val="false"/>
      <w:numPr>
        <w:ilvl w:val="0"/>
        <w:numId w:val="5"/>
      </w:numPr>
      <w:suppressAutoHyphens w:val="false"/>
      <w:spacing w:lineRule="exact" w:line="390" w:before="120" w:after="0"/>
      <w:jc w:val="both"/>
      <w:outlineLvl w:val="1"/>
    </w:pPr>
    <w:rPr>
      <w:rFonts w:ascii="Times New Roman Bold" w:hAnsi="Times New Roman Bold" w:eastAsia="Times New Roman"/>
      <w:b/>
      <w:bCs/>
      <w:spacing w:val="-10"/>
      <w:sz w:val="28"/>
      <w:szCs w:val="28"/>
      <w:lang w:eastAsia="vi-VN"/>
    </w:rPr>
  </w:style>
  <w:style w:type="paragraph" w:styleId="n-dieund" w:customStyle="1">
    <w:name w:val="n-dieund"/>
    <w:basedOn w:val="Normal"/>
    <w:qFormat/>
    <w:rsid w:val="00030b20"/>
    <w:pPr>
      <w:suppressAutoHyphens w:val="false"/>
      <w:spacing w:lineRule="auto" w:line="240" w:before="0" w:after="120"/>
      <w:ind w:firstLine="709"/>
      <w:jc w:val="both"/>
    </w:pPr>
    <w:rPr>
      <w:rFonts w:ascii=".VnTime" w:hAnsi=".VnTime" w:eastAsia="Times New Roman"/>
      <w:sz w:val="28"/>
      <w:szCs w:val="28"/>
      <w:lang w:eastAsia="en-US"/>
    </w:rPr>
  </w:style>
  <w:style w:type="paragraph" w:styleId="Char4" w:customStyle="1">
    <w:name w:val="Char4"/>
    <w:basedOn w:val="Normal"/>
    <w:semiHidden/>
    <w:qFormat/>
    <w:rsid w:val="0030750d"/>
    <w:pPr>
      <w:suppressAutoHyphens w:val="false"/>
      <w:spacing w:lineRule="exact" w:line="240" w:before="0" w:after="160"/>
    </w:pPr>
    <w:rPr>
      <w:rFonts w:ascii="Arial" w:hAnsi="Arial" w:eastAsia="Times New Roman" w:cs="Arial"/>
      <w:lang w:eastAsia="en-US"/>
    </w:rPr>
  </w:style>
  <w:style w:type="paragraph" w:styleId="yiv8529058457msonormal" w:customStyle="1">
    <w:name w:val="yiv8529058457msonormal"/>
    <w:basedOn w:val="Normal"/>
    <w:qFormat/>
    <w:rsid w:val="004108b7"/>
    <w:pPr>
      <w:suppressAutoHyphens w:val="false"/>
      <w:spacing w:lineRule="auto" w:line="240" w:beforeAutospacing="1" w:afterAutospacing="1"/>
    </w:pPr>
    <w:rPr>
      <w:rFonts w:eastAsia="Times New Roman"/>
      <w:sz w:val="24"/>
      <w:szCs w:val="24"/>
      <w:lang w:eastAsia="en-US"/>
    </w:rPr>
  </w:style>
  <w:style w:type="paragraph" w:styleId="ListParagraph1" w:customStyle="1">
    <w:name w:val="List Paragraph1"/>
    <w:basedOn w:val="Normal"/>
    <w:link w:val="ListParagraphChar"/>
    <w:qFormat/>
    <w:rsid w:val="00a96777"/>
    <w:pPr>
      <w:suppressAutoHyphens w:val="false"/>
      <w:spacing w:before="0" w:after="200"/>
      <w:ind w:left="720"/>
      <w:contextualSpacing/>
    </w:pPr>
    <w:rPr>
      <w:lang w:eastAsia="en-US"/>
    </w:rPr>
  </w:style>
  <w:style w:type="paragraph" w:styleId="n-dieu" w:customStyle="1">
    <w:name w:val="n-dieu"/>
    <w:basedOn w:val="Normal"/>
    <w:qFormat/>
    <w:rsid w:val="00176d1e"/>
    <w:pPr>
      <w:widowControl w:val="false"/>
      <w:suppressAutoHyphens w:val="false"/>
      <w:spacing w:lineRule="auto" w:line="240" w:before="120" w:after="180"/>
      <w:ind w:firstLine="709"/>
    </w:pPr>
    <w:rPr>
      <w:rFonts w:ascii=".VnTime" w:hAnsi=".VnTime" w:eastAsia="Times New Roman" w:cs=".VnTime"/>
      <w:b/>
      <w:bCs/>
      <w:i/>
      <w:iCs/>
      <w:color w:val="0000FF"/>
      <w:sz w:val="28"/>
      <w:szCs w:val="28"/>
      <w:lang w:eastAsia="en-US"/>
    </w:rPr>
  </w:style>
  <w:style w:type="paragraph" w:styleId="BodyTextIndent">
    <w:name w:val="Body Text Indent"/>
    <w:basedOn w:val="Normal"/>
    <w:link w:val="BodyTextIndentChar"/>
    <w:uiPriority w:val="99"/>
    <w:semiHidden/>
    <w:unhideWhenUsed/>
    <w:rsid w:val="00d213a8"/>
    <w:pPr>
      <w:spacing w:before="0" w:after="120"/>
      <w:ind w:left="360"/>
    </w:pPr>
    <w:rPr/>
  </w:style>
  <w:style w:type="paragraph" w:styleId="IndexHeading">
    <w:name w:val="index heading"/>
    <w:basedOn w:val="Heading"/>
    <w:pPr/>
    <w:rPr/>
  </w:style>
  <w:style w:type="paragraph" w:styleId="TOCHeading">
    <w:name w:val="TOC Heading"/>
    <w:basedOn w:val="Heading1"/>
    <w:next w:val="Normal"/>
    <w:uiPriority w:val="39"/>
    <w:unhideWhenUsed/>
    <w:qFormat/>
    <w:rsid w:val="003333a7"/>
    <w:pPr>
      <w:suppressAutoHyphens w:val="false"/>
      <w:spacing w:lineRule="auto" w:line="259"/>
      <w:outlineLvl w:val="9"/>
    </w:pPr>
    <w:rPr>
      <w:lang w:eastAsia="en-US"/>
    </w:rPr>
  </w:style>
  <w:style w:type="paragraph" w:styleId="TOC1">
    <w:name w:val="toc 1"/>
    <w:basedOn w:val="Normal"/>
    <w:next w:val="Normal"/>
    <w:autoRedefine/>
    <w:uiPriority w:val="39"/>
    <w:unhideWhenUsed/>
    <w:rsid w:val="00304ff4"/>
    <w:pPr>
      <w:tabs>
        <w:tab w:val="clear" w:pos="170"/>
        <w:tab w:val="right" w:pos="9061" w:leader="dot"/>
      </w:tabs>
      <w:spacing w:before="0" w:after="100"/>
    </w:pPr>
    <w:rPr/>
  </w:style>
  <w:style w:type="paragraph" w:styleId="TOC2">
    <w:name w:val="toc 2"/>
    <w:basedOn w:val="Normal"/>
    <w:next w:val="Normal"/>
    <w:autoRedefine/>
    <w:uiPriority w:val="39"/>
    <w:unhideWhenUsed/>
    <w:rsid w:val="00304ff4"/>
    <w:pPr>
      <w:tabs>
        <w:tab w:val="clear" w:pos="170"/>
        <w:tab w:val="left" w:pos="426" w:leader="none"/>
        <w:tab w:val="right" w:pos="9061" w:leader="dot"/>
      </w:tabs>
      <w:spacing w:before="0" w:after="100"/>
      <w:ind w:left="220"/>
    </w:pPr>
    <w:rPr/>
  </w:style>
  <w:style w:type="paragraph" w:styleId="TOC3">
    <w:name w:val="toc 3"/>
    <w:basedOn w:val="Normal"/>
    <w:next w:val="Normal"/>
    <w:autoRedefine/>
    <w:uiPriority w:val="39"/>
    <w:unhideWhenUsed/>
    <w:rsid w:val="003333a7"/>
    <w:pPr>
      <w:spacing w:before="0" w:after="100"/>
      <w:ind w:left="440"/>
    </w:pPr>
    <w:rPr/>
  </w:style>
  <w:style w:type="paragraph" w:styleId="TableParagraph" w:customStyle="1">
    <w:name w:val="Table Paragraph"/>
    <w:basedOn w:val="Normal"/>
    <w:uiPriority w:val="1"/>
    <w:qFormat/>
    <w:rsid w:val="00083a75"/>
    <w:pPr>
      <w:widowControl w:val="false"/>
      <w:suppressAutoHyphens w:val="false"/>
      <w:spacing w:lineRule="auto" w:line="240" w:before="0" w:after="0"/>
    </w:pPr>
    <w:rPr>
      <w:rFonts w:eastAsia="Times New Roman"/>
      <w:lang w:eastAsia="en-US"/>
    </w:rPr>
  </w:style>
  <w:style w:type="paragraph" w:styleId="TOC4">
    <w:name w:val="toc 4"/>
    <w:basedOn w:val="Normal"/>
    <w:next w:val="Normal"/>
    <w:autoRedefine/>
    <w:uiPriority w:val="39"/>
    <w:unhideWhenUsed/>
    <w:rsid w:val="000c4cd9"/>
    <w:pPr>
      <w:suppressAutoHyphens w:val="false"/>
      <w:spacing w:lineRule="auto" w:line="278" w:before="0" w:after="100"/>
      <w:ind w:left="720"/>
    </w:pPr>
    <w:rPr>
      <w:rFonts w:ascii="Aptos" w:hAnsi="Aptos" w:eastAsia="" w:cs="" w:asciiTheme="minorHAnsi" w:cstheme="minorBidi" w:eastAsiaTheme="minorEastAsia" w:hAnsiTheme="minorHAnsi"/>
      <w:kern w:val="2"/>
      <w:sz w:val="24"/>
      <w:szCs w:val="24"/>
      <w:lang w:eastAsia="en-US"/>
      <w14:ligatures w14:val="standardContextual"/>
    </w:rPr>
  </w:style>
  <w:style w:type="paragraph" w:styleId="TOC5">
    <w:name w:val="toc 5"/>
    <w:basedOn w:val="Normal"/>
    <w:next w:val="Normal"/>
    <w:autoRedefine/>
    <w:uiPriority w:val="39"/>
    <w:unhideWhenUsed/>
    <w:rsid w:val="000c4cd9"/>
    <w:pPr>
      <w:suppressAutoHyphens w:val="false"/>
      <w:spacing w:lineRule="auto" w:line="278" w:before="0" w:after="100"/>
      <w:ind w:left="960"/>
    </w:pPr>
    <w:rPr>
      <w:rFonts w:ascii="Aptos" w:hAnsi="Aptos" w:eastAsia="" w:cs="" w:asciiTheme="minorHAnsi" w:cstheme="minorBidi" w:eastAsiaTheme="minorEastAsia" w:hAnsiTheme="minorHAnsi"/>
      <w:kern w:val="2"/>
      <w:sz w:val="24"/>
      <w:szCs w:val="24"/>
      <w:lang w:eastAsia="en-US"/>
      <w14:ligatures w14:val="standardContextual"/>
    </w:rPr>
  </w:style>
  <w:style w:type="paragraph" w:styleId="TOC6">
    <w:name w:val="toc 6"/>
    <w:basedOn w:val="Normal"/>
    <w:next w:val="Normal"/>
    <w:autoRedefine/>
    <w:uiPriority w:val="39"/>
    <w:unhideWhenUsed/>
    <w:rsid w:val="000c4cd9"/>
    <w:pPr>
      <w:suppressAutoHyphens w:val="false"/>
      <w:spacing w:lineRule="auto" w:line="278" w:before="0" w:after="100"/>
      <w:ind w:left="1200"/>
    </w:pPr>
    <w:rPr>
      <w:rFonts w:ascii="Aptos" w:hAnsi="Aptos" w:eastAsia="" w:cs="" w:asciiTheme="minorHAnsi" w:cstheme="minorBidi" w:eastAsiaTheme="minorEastAsia" w:hAnsiTheme="minorHAnsi"/>
      <w:kern w:val="2"/>
      <w:sz w:val="24"/>
      <w:szCs w:val="24"/>
      <w:lang w:eastAsia="en-US"/>
      <w14:ligatures w14:val="standardContextual"/>
    </w:rPr>
  </w:style>
  <w:style w:type="paragraph" w:styleId="TOC7">
    <w:name w:val="toc 7"/>
    <w:basedOn w:val="Normal"/>
    <w:next w:val="Normal"/>
    <w:autoRedefine/>
    <w:uiPriority w:val="39"/>
    <w:unhideWhenUsed/>
    <w:rsid w:val="000c4cd9"/>
    <w:pPr>
      <w:suppressAutoHyphens w:val="false"/>
      <w:spacing w:lineRule="auto" w:line="278" w:before="0" w:after="100"/>
      <w:ind w:left="1440"/>
    </w:pPr>
    <w:rPr>
      <w:rFonts w:ascii="Aptos" w:hAnsi="Aptos" w:eastAsia="" w:cs="" w:asciiTheme="minorHAnsi" w:cstheme="minorBidi" w:eastAsiaTheme="minorEastAsia" w:hAnsiTheme="minorHAnsi"/>
      <w:kern w:val="2"/>
      <w:sz w:val="24"/>
      <w:szCs w:val="24"/>
      <w:lang w:eastAsia="en-US"/>
      <w14:ligatures w14:val="standardContextual"/>
    </w:rPr>
  </w:style>
  <w:style w:type="paragraph" w:styleId="TOC8">
    <w:name w:val="toc 8"/>
    <w:basedOn w:val="Normal"/>
    <w:next w:val="Normal"/>
    <w:autoRedefine/>
    <w:uiPriority w:val="39"/>
    <w:unhideWhenUsed/>
    <w:rsid w:val="000c4cd9"/>
    <w:pPr>
      <w:suppressAutoHyphens w:val="false"/>
      <w:spacing w:lineRule="auto" w:line="278" w:before="0" w:after="100"/>
      <w:ind w:left="1680"/>
    </w:pPr>
    <w:rPr>
      <w:rFonts w:ascii="Aptos" w:hAnsi="Aptos" w:eastAsia="" w:cs="" w:asciiTheme="minorHAnsi" w:cstheme="minorBidi" w:eastAsiaTheme="minorEastAsia" w:hAnsiTheme="minorHAnsi"/>
      <w:kern w:val="2"/>
      <w:sz w:val="24"/>
      <w:szCs w:val="24"/>
      <w:lang w:eastAsia="en-US"/>
      <w14:ligatures w14:val="standardContextual"/>
    </w:rPr>
  </w:style>
  <w:style w:type="paragraph" w:styleId="TOC9">
    <w:name w:val="toc 9"/>
    <w:basedOn w:val="Normal"/>
    <w:next w:val="Normal"/>
    <w:autoRedefine/>
    <w:uiPriority w:val="39"/>
    <w:unhideWhenUsed/>
    <w:rsid w:val="000c4cd9"/>
    <w:pPr>
      <w:suppressAutoHyphens w:val="false"/>
      <w:spacing w:lineRule="auto" w:line="278" w:before="0" w:after="100"/>
      <w:ind w:left="1920"/>
    </w:pPr>
    <w:rPr>
      <w:rFonts w:ascii="Aptos" w:hAnsi="Aptos" w:eastAsia="" w:cs="" w:asciiTheme="minorHAnsi" w:cstheme="minorBidi" w:eastAsiaTheme="minorEastAsia" w:hAnsiTheme="minorHAnsi"/>
      <w:kern w:val="2"/>
      <w:sz w:val="24"/>
      <w:szCs w:val="24"/>
      <w:lang w:eastAsia="en-US"/>
      <w14:ligatures w14:val="standardContextual"/>
    </w:rPr>
  </w:style>
  <w:style w:type="paragraph" w:styleId="MediumGrid21" w:customStyle="1">
    <w:name w:val="Medium Grid 21"/>
    <w:uiPriority w:val="1"/>
    <w:qFormat/>
    <w:rsid w:val="00585664"/>
    <w:pPr>
      <w:widowControl/>
      <w:overflowPunct w:val="true"/>
      <w:bidi w:val="0"/>
      <w:spacing w:before="0" w:after="0"/>
      <w:ind w:firstLine="567"/>
      <w:jc w:val="both"/>
      <w:textAlignment w:val="baseline"/>
    </w:pPr>
    <w:rPr>
      <w:rFonts w:ascii=".VnTime" w:hAnsi=".VnTime" w:eastAsia="SimSun" w:cs="Times New Roman"/>
      <w:color w:val="0000FF"/>
      <w:kern w:val="0"/>
      <w:sz w:val="24"/>
      <w:szCs w:val="20"/>
      <w:lang w:val="en-US" w:eastAsia="en-US" w:bidi="ar-SA"/>
    </w:rPr>
  </w:style>
  <w:style w:type="paragraph" w:styleId="nd" w:customStyle="1">
    <w:name w:val="nd"/>
    <w:basedOn w:val="Normal"/>
    <w:qFormat/>
    <w:rsid w:val="00134555"/>
    <w:pPr>
      <w:suppressAutoHyphens w:val="false"/>
      <w:spacing w:lineRule="exact" w:line="320" w:before="120" w:after="0"/>
      <w:ind w:firstLine="567"/>
      <w:jc w:val="both"/>
    </w:pPr>
    <w:rPr>
      <w:rFonts w:eastAsia="MS Mincho"/>
      <w:color w:val="000000"/>
      <w:sz w:val="28"/>
      <w:szCs w:val="28"/>
      <w:lang w:eastAsia="ja-JP"/>
    </w:rPr>
  </w:style>
  <w:style w:type="paragraph" w:styleId="BodyTextIndent2">
    <w:name w:val="Body Text Indent 2"/>
    <w:basedOn w:val="Normal"/>
    <w:link w:val="BodyTextIndent2Char"/>
    <w:uiPriority w:val="99"/>
    <w:unhideWhenUsed/>
    <w:qFormat/>
    <w:rsid w:val="00bd75c5"/>
    <w:pPr>
      <w:spacing w:lineRule="auto" w:line="480" w:before="0" w:after="120"/>
      <w:ind w:left="36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04c21"/>
    <w:rPr>
      <w:rFonts w:asciiTheme="minorHAnsi" w:hAnsiTheme="minorHAnsi" w:eastAsiaTheme="minorHAnsi" w:cstheme="minorBidi"/>
      <w:sz w:val="22"/>
      <w:szCs w:val="22"/>
      <w:lang w:val="en-US"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 Id="rId9"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Chủ đề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
        <a:cs typeface=""/>
      </a:majorFont>
      <a:minorFont>
        <a:latin typeface="Aptos"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F8E3A-6953-4899-B1FE-4B024AF6A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Application>LibreOffice/26.2.3.2$Windows_X86_64 LibreOffice_project/70e089b17412e4cb7773e41413306b17a2328c34</Application>
  <AppVersion>15.0000</AppVersion>
  <Pages>20</Pages>
  <Words>9676</Words>
  <Characters>34420</Characters>
  <CharactersWithSpaces>43932</CharactersWithSpaces>
  <Paragraphs>262</Paragraphs>
  <Company>MHT 139 Phan Văn Trường ... Cấu Giấy - Hà Nội</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2026-06-09T07:09:00Z</dcterms:created>
  <dc:creator>admin</dc:creator>
  <dc:description/>
  <dc:language>vi-VN</dc:language>
  <cp:lastModifiedBy>pc</cp:lastModifiedBy>
  <cp:lastPrinted>2025-11-27T11:10:00Z</cp:lastPrinted>
  <dcterms:modified xsi:type="dcterms:W3CDTF">2026-06-09T08:52:00Z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