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68" w:type="dxa"/>
        <w:jc w:val="left"/>
        <w:tblInd w:w="0" w:type="dxa"/>
        <w:tblLayout w:type="fixed"/>
        <w:tblCellMar>
          <w:top w:w="0" w:type="dxa"/>
          <w:left w:w="108" w:type="dxa"/>
          <w:bottom w:w="0" w:type="dxa"/>
          <w:right w:w="108" w:type="dxa"/>
        </w:tblCellMar>
      </w:tblPr>
      <w:tblGrid>
        <w:gridCol w:w="3348"/>
        <w:gridCol w:w="6120"/>
      </w:tblGrid>
      <w:tr>
        <w:trPr>
          <w:trHeight w:val="566" w:hRule="atLeast"/>
        </w:trPr>
        <w:tc>
          <w:tcPr>
            <w:tcW w:w="3348" w:type="dxa"/>
            <w:tcBorders/>
            <w:shd w:fill="FFFFFF" w:val="clear"/>
          </w:tcPr>
          <w:p>
            <w:pPr>
              <w:pStyle w:val="NormalWeb"/>
              <w:spacing w:lineRule="atLeast" w:line="234" w:before="0" w:after="120"/>
              <w:jc w:val="center"/>
              <w:rPr>
                <w:color w:val="000000"/>
                <w:sz w:val="26"/>
                <w:szCs w:val="26"/>
              </w:rPr>
            </w:pPr>
            <w:r>
              <mc:AlternateContent>
                <mc:Choice Requires="wps">
                  <w:drawing>
                    <wp:anchor distT="0" distB="0" distL="114935" distR="114935" simplePos="0" relativeHeight="4" behindDoc="0" locked="0" layoutInCell="1" allowOverlap="1">
                      <wp:simplePos x="0" y="0"/>
                      <wp:positionH relativeFrom="column">
                        <wp:posOffset>561975</wp:posOffset>
                      </wp:positionH>
                      <wp:positionV relativeFrom="paragraph">
                        <wp:posOffset>409575</wp:posOffset>
                      </wp:positionV>
                      <wp:extent cx="800100" cy="0"/>
                      <wp:effectExtent l="0" t="5080" r="0" b="5080"/>
                      <wp:wrapNone/>
                      <wp:docPr id="1" name=""/>
                      <a:graphic xmlns:a="http://schemas.openxmlformats.org/drawingml/2006/main">
                        <a:graphicData uri="http://schemas.microsoft.com/office/word/2010/wordprocessingShape">
                          <wps:wsp>
                            <wps:cNvSpPr/>
                            <wps:spPr>
                              <a:xfrm>
                                <a:off x="0" y="0"/>
                                <a:ext cx="800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4.25pt,32.25pt" to="107.2pt,32.25pt" stroked="t" o:allowincell="t" style="position:absolute">
                      <v:stroke color="black" weight="9360" joinstyle="miter" endcap="flat"/>
                      <v:fill o:detectmouseclick="t" on="false"/>
                      <w10:wrap type="none"/>
                    </v:line>
                  </w:pict>
                </mc:Fallback>
              </mc:AlternateContent>
            </w:r>
            <w:r>
              <w:rPr>
                <w:b/>
                <w:bCs/>
                <w:color w:val="000000"/>
                <w:sz w:val="26"/>
                <w:szCs w:val="26"/>
              </w:rPr>
              <w:t>HỘI ĐỒNG NHÂN DÂN</w:t>
              <w:br/>
              <w:t>TỈNH LÂM ĐỒNG</w:t>
            </w:r>
          </w:p>
        </w:tc>
        <w:tc>
          <w:tcPr>
            <w:tcW w:w="6120" w:type="dxa"/>
            <w:tcBorders/>
            <w:shd w:fill="FFFFFF" w:val="clear"/>
          </w:tcPr>
          <w:p>
            <w:pPr>
              <w:pStyle w:val="NormalWeb"/>
              <w:spacing w:lineRule="atLeast" w:line="234" w:before="0" w:after="120"/>
              <w:jc w:val="center"/>
              <w:rPr>
                <w:color w:val="000000"/>
                <w:sz w:val="26"/>
                <w:szCs w:val="26"/>
              </w:rPr>
            </w:pPr>
            <w:r>
              <mc:AlternateContent>
                <mc:Choice Requires="wps">
                  <w:drawing>
                    <wp:anchor distT="0" distB="0" distL="114935" distR="114935" simplePos="0" relativeHeight="5" behindDoc="0" locked="0" layoutInCell="1" allowOverlap="1">
                      <wp:simplePos x="0" y="0"/>
                      <wp:positionH relativeFrom="column">
                        <wp:posOffset>902970</wp:posOffset>
                      </wp:positionH>
                      <wp:positionV relativeFrom="paragraph">
                        <wp:posOffset>418465</wp:posOffset>
                      </wp:positionV>
                      <wp:extent cx="1943100" cy="0"/>
                      <wp:effectExtent l="0" t="5080" r="0" b="5080"/>
                      <wp:wrapNone/>
                      <wp:docPr id="2" name=""/>
                      <a:graphic xmlns:a="http://schemas.openxmlformats.org/drawingml/2006/main">
                        <a:graphicData uri="http://schemas.microsoft.com/office/word/2010/wordprocessingShape">
                          <wps:wsp>
                            <wps:cNvSpPr/>
                            <wps:spPr>
                              <a:xfrm>
                                <a:off x="0" y="0"/>
                                <a:ext cx="19432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1.1pt,32.95pt" to="224.05pt,32.95pt" stroked="t" o:allowincell="t" style="position:absolute">
                      <v:stroke color="black" weight="9360" joinstyle="miter" endcap="flat"/>
                      <v:fill o:detectmouseclick="t" on="false"/>
                      <w10:wrap type="none"/>
                    </v:line>
                  </w:pict>
                </mc:Fallback>
              </mc:AlternateContent>
            </w:r>
            <w:r>
              <w:rPr>
                <w:b/>
                <w:bCs/>
                <w:color w:val="000000"/>
                <w:sz w:val="26"/>
                <w:szCs w:val="26"/>
              </w:rPr>
              <w:t>CỘNG HÒA XÃ HỘI CHỦ NGHĨA VIỆT NAM</w:t>
              <w:br/>
            </w:r>
            <w:r>
              <w:rPr>
                <w:b/>
                <w:bCs/>
                <w:color w:val="000000"/>
                <w:sz w:val="28"/>
                <w:szCs w:val="28"/>
              </w:rPr>
              <w:t>Độc lập - Tự do - Hạnh phúc</w:t>
            </w:r>
          </w:p>
        </w:tc>
      </w:tr>
      <w:tr>
        <w:trPr/>
        <w:tc>
          <w:tcPr>
            <w:tcW w:w="3348" w:type="dxa"/>
            <w:tcBorders/>
            <w:shd w:fill="FFFFFF" w:val="clear"/>
          </w:tcPr>
          <w:p>
            <w:pPr>
              <w:pStyle w:val="NormalWeb"/>
              <w:spacing w:lineRule="atLeast" w:line="234" w:before="120" w:after="120"/>
              <w:jc w:val="both"/>
              <w:rPr/>
            </w:pPr>
            <w:r>
              <w:rPr>
                <w:color w:val="000000"/>
                <w:sz w:val="26"/>
                <w:szCs w:val="26"/>
              </w:rPr>
              <w:t xml:space="preserve">     </w:t>
            </w:r>
            <w:r>
              <w:rPr>
                <w:color w:val="000000"/>
                <w:sz w:val="26"/>
                <w:szCs w:val="26"/>
              </w:rPr>
              <w:t>Số:        /2026/NQ-HĐND</w:t>
            </w:r>
          </w:p>
        </w:tc>
        <w:tc>
          <w:tcPr>
            <w:tcW w:w="6120" w:type="dxa"/>
            <w:tcBorders/>
            <w:shd w:fill="FFFFFF" w:val="clear"/>
          </w:tcPr>
          <w:p>
            <w:pPr>
              <w:pStyle w:val="NormalWeb"/>
              <w:spacing w:lineRule="atLeast" w:line="234" w:before="120" w:after="120"/>
              <w:jc w:val="center"/>
              <w:rPr>
                <w:color w:val="000000"/>
                <w:sz w:val="26"/>
                <w:szCs w:val="26"/>
              </w:rPr>
            </w:pPr>
            <w:r>
              <w:rPr>
                <w:i/>
                <w:iCs/>
                <w:color w:val="000000"/>
                <w:sz w:val="26"/>
                <w:szCs w:val="26"/>
              </w:rPr>
              <w:t>Lâm Đồng, ngày      tháng    năm 2026</w:t>
            </w:r>
          </w:p>
        </w:tc>
      </w:tr>
    </w:tbl>
    <w:p>
      <w:pPr>
        <w:pStyle w:val="Normal"/>
        <w:rPr>
          <w:vanish/>
        </w:rPr>
      </w:pPr>
      <w:r>
        <w:rPr>
          <w:vanish/>
        </w:rPr>
      </w:r>
    </w:p>
    <w:tbl>
      <w:tblPr>
        <w:tblW w:w="1161" w:type="dxa"/>
        <w:jc w:val="left"/>
        <w:tblInd w:w="959" w:type="dxa"/>
        <w:tblLayout w:type="fixed"/>
        <w:tblCellMar>
          <w:top w:w="0" w:type="dxa"/>
          <w:left w:w="108" w:type="dxa"/>
          <w:bottom w:w="0" w:type="dxa"/>
          <w:right w:w="108" w:type="dxa"/>
        </w:tblCellMar>
      </w:tblPr>
      <w:tblGrid>
        <w:gridCol w:w="1161"/>
      </w:tblGrid>
      <w:tr>
        <w:trPr>
          <w:trHeight w:val="204" w:hRule="atLeast"/>
        </w:trPr>
        <w:tc>
          <w:tcPr>
            <w:tcW w:w="1161" w:type="dxa"/>
            <w:tcBorders>
              <w:top w:val="single" w:sz="4" w:space="0" w:color="000000"/>
              <w:left w:val="single" w:sz="4" w:space="0" w:color="000000"/>
              <w:bottom w:val="single" w:sz="4" w:space="0" w:color="000000"/>
              <w:right w:val="single" w:sz="4" w:space="0" w:color="000000"/>
            </w:tcBorders>
          </w:tcPr>
          <w:p>
            <w:pPr>
              <w:pStyle w:val="NormalWeb"/>
              <w:spacing w:before="60" w:after="60"/>
              <w:jc w:val="center"/>
              <w:rPr>
                <w:color w:val="000000"/>
              </w:rPr>
            </w:pPr>
            <w:r>
              <w:rPr>
                <w:color w:val="000000"/>
                <w:sz w:val="18"/>
                <w:szCs w:val="18"/>
              </w:rPr>
              <w:t> </w:t>
            </w:r>
            <w:r>
              <w:rPr>
                <w:color w:val="000000"/>
              </w:rPr>
              <w:t xml:space="preserve">Dự thảo </w:t>
            </w:r>
          </w:p>
        </w:tc>
      </w:tr>
    </w:tbl>
    <w:p>
      <w:pPr>
        <w:pStyle w:val="Normal"/>
        <w:jc w:val="center"/>
        <w:rPr>
          <w:b/>
          <w:sz w:val="28"/>
          <w:szCs w:val="28"/>
          <w:lang w:val="nl-NL"/>
        </w:rPr>
      </w:pPr>
      <w:r>
        <w:rPr>
          <w:b/>
          <w:sz w:val="28"/>
          <w:szCs w:val="28"/>
          <w:lang w:val="nl-NL"/>
        </w:rPr>
        <w:t>NGHỊ QUYẾT</w:t>
      </w:r>
    </w:p>
    <w:p>
      <w:pPr>
        <w:pStyle w:val="Normal"/>
        <w:jc w:val="center"/>
        <w:rPr>
          <w:b/>
          <w:sz w:val="4"/>
          <w:szCs w:val="28"/>
          <w:lang w:val="nl-NL"/>
        </w:rPr>
      </w:pPr>
      <w:r>
        <w:rPr>
          <w:b/>
          <w:sz w:val="4"/>
          <w:szCs w:val="28"/>
          <w:lang w:val="nl-NL"/>
        </w:rPr>
      </w:r>
    </w:p>
    <w:p>
      <w:pPr>
        <w:pStyle w:val="Normal"/>
        <w:ind w:left="993" w:right="992"/>
        <w:jc w:val="center"/>
        <w:rPr>
          <w:b/>
          <w:bCs/>
          <w:sz w:val="28"/>
          <w:szCs w:val="28"/>
          <w:lang w:val="nl-NL"/>
        </w:rPr>
      </w:pPr>
      <w:r>
        <w:rPr>
          <w:b/>
          <w:bCs/>
          <w:sz w:val="28"/>
          <w:szCs w:val="28"/>
          <w:lang w:val="nl-NL"/>
        </w:rPr>
        <w:t xml:space="preserve"> </w:t>
      </w:r>
      <w:r>
        <w:rPr>
          <w:b/>
          <w:bCs/>
          <w:sz w:val="28"/>
          <w:szCs w:val="28"/>
          <w:lang w:val="nl-NL"/>
        </w:rPr>
        <w:t>Sửa đổi, bổ sung một số điều của Quy định ban hành kèm theo Nghị quyết số 82/2025/NQ-HĐND ngày 30 tháng 12 năm 2025 của Hội đồng nhân dân tỉnh Lâm Đồng</w:t>
      </w:r>
    </w:p>
    <w:p>
      <w:pPr>
        <w:pStyle w:val="Normal"/>
        <w:ind w:left="993" w:right="794"/>
        <w:jc w:val="center"/>
        <w:rPr>
          <w:b/>
          <w:bCs/>
          <w:sz w:val="28"/>
          <w:szCs w:val="28"/>
          <w:lang w:val="nl-NL"/>
        </w:rPr>
      </w:pPr>
      <w:r>
        <w:rPr>
          <w:b/>
          <w:bCs/>
          <w:sz w:val="28"/>
          <w:szCs w:val="28"/>
          <w:lang w:val="nl-NL"/>
        </w:rPr>
        <mc:AlternateContent>
          <mc:Choice Requires="wps">
            <w:drawing>
              <wp:anchor distT="0" distB="0" distL="114935" distR="114935" simplePos="0" relativeHeight="6" behindDoc="0" locked="0" layoutInCell="1" allowOverlap="1">
                <wp:simplePos x="0" y="0"/>
                <wp:positionH relativeFrom="column">
                  <wp:posOffset>1958975</wp:posOffset>
                </wp:positionH>
                <wp:positionV relativeFrom="paragraph">
                  <wp:posOffset>17780</wp:posOffset>
                </wp:positionV>
                <wp:extent cx="1714500" cy="0"/>
                <wp:effectExtent l="0" t="5080" r="0" b="5080"/>
                <wp:wrapNone/>
                <wp:docPr id="3" name=""/>
                <a:graphic xmlns:a="http://schemas.openxmlformats.org/drawingml/2006/main">
                  <a:graphicData uri="http://schemas.microsoft.com/office/word/2010/wordprocessingShape">
                    <wps:wsp>
                      <wps:cNvSpPr/>
                      <wps:spPr>
                        <a:xfrm>
                          <a:off x="0" y="0"/>
                          <a:ext cx="17146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4.25pt,1.4pt" to="289.2pt,1.4pt" stroked="t" o:allowincell="f" style="position:absolute">
                <v:stroke color="black" weight="9360" joinstyle="miter" endcap="flat"/>
                <v:fill o:detectmouseclick="t" on="false"/>
                <w10:wrap type="none"/>
              </v:line>
            </w:pict>
          </mc:Fallback>
        </mc:AlternateContent>
      </w:r>
    </w:p>
    <w:p>
      <w:pPr>
        <w:pStyle w:val="Normal"/>
        <w:ind w:firstLine="709" w:right="0"/>
        <w:jc w:val="center"/>
        <w:rPr>
          <w:b/>
          <w:bCs/>
          <w:sz w:val="16"/>
          <w:szCs w:val="28"/>
          <w:lang w:val="nl-NL"/>
        </w:rPr>
      </w:pPr>
      <w:r>
        <w:rPr>
          <w:b/>
          <w:bCs/>
          <w:sz w:val="16"/>
          <w:szCs w:val="28"/>
          <w:lang w:val="nl-NL"/>
        </w:rPr>
      </w:r>
    </w:p>
    <w:p>
      <w:pPr>
        <w:pStyle w:val="Normal"/>
        <w:tabs>
          <w:tab w:val="clear" w:pos="720"/>
          <w:tab w:val="left" w:pos="567" w:leader="none"/>
        </w:tabs>
        <w:spacing w:lineRule="auto" w:line="252" w:before="120" w:after="120"/>
        <w:ind w:firstLine="567" w:right="0"/>
        <w:jc w:val="both"/>
        <w:rPr/>
      </w:pPr>
      <w:r>
        <w:rPr>
          <w:i/>
          <w:sz w:val="27"/>
          <w:szCs w:val="27"/>
        </w:rPr>
        <w:t xml:space="preserve">Căn cứ Luật Tổ chức chính quyền địa phương số 72/2025/QH15; </w:t>
      </w:r>
    </w:p>
    <w:p>
      <w:pPr>
        <w:pStyle w:val="Normal"/>
        <w:tabs>
          <w:tab w:val="clear" w:pos="720"/>
          <w:tab w:val="left" w:pos="567" w:leader="none"/>
        </w:tabs>
        <w:spacing w:lineRule="auto" w:line="252" w:before="120" w:after="120"/>
        <w:ind w:firstLine="567" w:right="0"/>
        <w:jc w:val="both"/>
        <w:rPr>
          <w:i/>
          <w:sz w:val="27"/>
          <w:szCs w:val="27"/>
        </w:rPr>
      </w:pPr>
      <w:r>
        <w:rPr>
          <w:i/>
          <w:sz w:val="27"/>
          <w:szCs w:val="27"/>
        </w:rPr>
        <w:t>Căn cứ Luật Đất đai số 31/2024/QH15 được sửa đổi, bổ sung một số điều bởi các Luật số 43/2024/QH15, số 47/2024/QH15, số 58/2024/QH15, số 71/2025/QH15, số 93/2025/QH15, số 146/2025/QH15 và số 147/2025/QH15 (sau đây gọi là Luật Đất đai năm 2024);</w:t>
      </w:r>
    </w:p>
    <w:p>
      <w:pPr>
        <w:pStyle w:val="Normal"/>
        <w:shd w:fill="FFFFFF" w:val="clear"/>
        <w:spacing w:lineRule="auto" w:line="252" w:before="120" w:after="120"/>
        <w:ind w:firstLine="567" w:right="0"/>
        <w:jc w:val="both"/>
        <w:rPr>
          <w:i/>
          <w:iCs/>
          <w:color w:val="000000"/>
          <w:sz w:val="27"/>
          <w:szCs w:val="27"/>
          <w:lang w:val="vi-VN"/>
        </w:rPr>
      </w:pPr>
      <w:r>
        <w:rPr>
          <w:i/>
          <w:iCs/>
          <w:color w:val="000000"/>
          <w:sz w:val="27"/>
          <w:szCs w:val="27"/>
        </w:rPr>
        <w:t>Căn cứ Nghị quyết số 254/2025/QH15 của Quốc hội về Quy định một số cơ chế, chính sách tháo gỡ khó khăn, vướng mắc trong tổ chức thi hành Luật Đất đai;</w:t>
      </w:r>
    </w:p>
    <w:p>
      <w:pPr>
        <w:pStyle w:val="Normal"/>
        <w:shd w:fill="FFFFFF" w:val="clear"/>
        <w:tabs>
          <w:tab w:val="clear" w:pos="720"/>
          <w:tab w:val="left" w:pos="567" w:leader="none"/>
        </w:tabs>
        <w:spacing w:lineRule="auto" w:line="252" w:before="120" w:after="120"/>
        <w:ind w:firstLine="567" w:right="0"/>
        <w:jc w:val="both"/>
        <w:rPr/>
      </w:pPr>
      <w:r>
        <w:rPr>
          <w:i/>
          <w:iCs/>
          <w:color w:val="000000"/>
          <w:sz w:val="27"/>
          <w:szCs w:val="27"/>
          <w:lang w:val="vi-VN"/>
        </w:rPr>
        <w:t>Căn cứ Nghị định số</w:t>
      </w:r>
      <w:r>
        <w:rPr>
          <w:rStyle w:val="apple-converted-space"/>
          <w:rFonts w:eastAsia="Arial"/>
          <w:i/>
          <w:iCs/>
          <w:color w:val="000000"/>
          <w:sz w:val="27"/>
          <w:szCs w:val="27"/>
          <w:lang w:val="vi-VN"/>
        </w:rPr>
        <w:t> </w:t>
      </w:r>
      <w:r>
        <w:rPr>
          <w:rStyle w:val="apple-converted-space"/>
          <w:rFonts w:eastAsia="Arial"/>
          <w:i/>
          <w:iCs/>
          <w:color w:val="000000"/>
          <w:sz w:val="27"/>
          <w:szCs w:val="27"/>
        </w:rPr>
        <w:t xml:space="preserve">71/2024/NĐ-CP </w:t>
      </w:r>
      <w:r>
        <w:rPr>
          <w:i/>
          <w:iCs/>
          <w:color w:val="000000"/>
          <w:sz w:val="27"/>
          <w:szCs w:val="27"/>
          <w:lang w:val="vi-VN"/>
        </w:rPr>
        <w:t xml:space="preserve">của Chính phủ Quy định về giá đất; </w:t>
      </w:r>
    </w:p>
    <w:p>
      <w:pPr>
        <w:pStyle w:val="Normal"/>
        <w:shd w:fill="FFFFFF" w:val="clear"/>
        <w:tabs>
          <w:tab w:val="clear" w:pos="720"/>
          <w:tab w:val="left" w:pos="567" w:leader="none"/>
        </w:tabs>
        <w:spacing w:lineRule="auto" w:line="252" w:before="120" w:after="120"/>
        <w:ind w:firstLine="567" w:right="0"/>
        <w:jc w:val="both"/>
        <w:rPr/>
      </w:pPr>
      <w:r>
        <w:rPr>
          <w:i/>
          <w:iCs/>
          <w:color w:val="000000"/>
          <w:sz w:val="27"/>
          <w:szCs w:val="27"/>
        </w:rPr>
        <w:t xml:space="preserve">Căn cứ </w:t>
      </w:r>
      <w:r>
        <w:rPr>
          <w:i/>
          <w:iCs/>
          <w:color w:val="000000"/>
          <w:sz w:val="27"/>
          <w:szCs w:val="27"/>
          <w:lang w:val="vi-VN"/>
        </w:rPr>
        <w:t>Nghị định số</w:t>
      </w:r>
      <w:r>
        <w:rPr>
          <w:rStyle w:val="apple-converted-space"/>
          <w:rFonts w:eastAsia="Arial"/>
          <w:i/>
          <w:iCs/>
          <w:color w:val="000000"/>
          <w:sz w:val="27"/>
          <w:szCs w:val="27"/>
          <w:lang w:val="vi-VN"/>
        </w:rPr>
        <w:t> </w:t>
      </w:r>
      <w:hyperlink r:id="rId2" w:tgtFrame="_blank">
        <w:r>
          <w:rPr>
            <w:rStyle w:val="Hyperlink"/>
            <w:i/>
            <w:iCs/>
            <w:color w:val="000000"/>
            <w:sz w:val="27"/>
            <w:szCs w:val="27"/>
            <w:u w:val="none"/>
          </w:rPr>
          <w:t>49</w:t>
        </w:r>
        <w:r>
          <w:rPr>
            <w:rStyle w:val="Hyperlink"/>
            <w:i/>
            <w:iCs/>
            <w:color w:val="000000"/>
            <w:sz w:val="27"/>
            <w:szCs w:val="27"/>
            <w:u w:val="none"/>
            <w:lang w:val="vi-VN"/>
          </w:rPr>
          <w:t>/20</w:t>
        </w:r>
        <w:r>
          <w:rPr>
            <w:rStyle w:val="Hyperlink"/>
            <w:i/>
            <w:iCs/>
            <w:color w:val="000000"/>
            <w:sz w:val="27"/>
            <w:szCs w:val="27"/>
            <w:u w:val="none"/>
          </w:rPr>
          <w:t>26</w:t>
        </w:r>
        <w:r>
          <w:rPr>
            <w:rStyle w:val="Hyperlink"/>
            <w:i/>
            <w:iCs/>
            <w:color w:val="000000"/>
            <w:sz w:val="27"/>
            <w:szCs w:val="27"/>
            <w:u w:val="none"/>
            <w:lang w:val="vi-VN"/>
          </w:rPr>
          <w:t>/NĐ-CP</w:t>
        </w:r>
      </w:hyperlink>
      <w:r>
        <w:rPr>
          <w:rStyle w:val="apple-converted-space"/>
          <w:rFonts w:eastAsia="Arial"/>
          <w:i/>
          <w:iCs/>
          <w:color w:val="000000"/>
          <w:sz w:val="27"/>
          <w:szCs w:val="27"/>
          <w:lang w:val="vi-VN"/>
        </w:rPr>
        <w:t> </w:t>
      </w:r>
      <w:r>
        <w:rPr>
          <w:i/>
          <w:iCs/>
          <w:color w:val="000000"/>
          <w:sz w:val="27"/>
          <w:szCs w:val="27"/>
          <w:lang w:val="vi-VN"/>
        </w:rPr>
        <w:t xml:space="preserve">của Chính phủ </w:t>
      </w:r>
      <w:r>
        <w:rPr>
          <w:i/>
          <w:iCs/>
          <w:color w:val="000000"/>
          <w:sz w:val="27"/>
          <w:szCs w:val="27"/>
        </w:rPr>
        <w:t>quy định chi tiết và hướng dẫn một số điều của Nghị quyết số 254/2025/QH15 của Quốc hội quy định một số cơ chế, chính sách tháo gỡ khó khăn, vướng mắc trong tổ chức thi hành Luật Đất đai;</w:t>
      </w:r>
    </w:p>
    <w:p>
      <w:pPr>
        <w:pStyle w:val="Normal"/>
        <w:tabs>
          <w:tab w:val="clear" w:pos="720"/>
          <w:tab w:val="left" w:pos="567" w:leader="none"/>
        </w:tabs>
        <w:spacing w:lineRule="auto" w:line="252" w:before="120" w:after="120"/>
        <w:ind w:firstLine="567" w:right="0"/>
        <w:jc w:val="both"/>
        <w:rPr>
          <w:i/>
          <w:sz w:val="27"/>
          <w:szCs w:val="27"/>
          <w:lang w:val="vi-VN"/>
        </w:rPr>
      </w:pPr>
      <w:r>
        <w:rPr>
          <w:i/>
          <w:sz w:val="27"/>
          <w:szCs w:val="27"/>
        </w:rPr>
        <w:t xml:space="preserve">Theo đề nghị của Ủy ban nhân dân tỉnh Lâm Đồng tại </w:t>
      </w:r>
      <w:r>
        <w:rPr>
          <w:i/>
          <w:sz w:val="27"/>
          <w:szCs w:val="27"/>
          <w:lang w:val="vi-VN"/>
        </w:rPr>
        <w:t>Tờ trình số</w:t>
      </w:r>
      <w:r>
        <w:rPr>
          <w:i/>
          <w:sz w:val="27"/>
          <w:szCs w:val="27"/>
          <w:lang w:val="nl-NL"/>
        </w:rPr>
        <w:t xml:space="preserve"> .....</w:t>
      </w:r>
      <w:r>
        <w:rPr>
          <w:i/>
          <w:sz w:val="27"/>
          <w:szCs w:val="27"/>
          <w:lang w:val="vi-VN"/>
        </w:rPr>
        <w:t>/TTr-UBND ngày</w:t>
      </w:r>
      <w:r>
        <w:rPr>
          <w:i/>
          <w:sz w:val="27"/>
          <w:szCs w:val="27"/>
          <w:lang w:val="nl-NL"/>
        </w:rPr>
        <w:t xml:space="preserve"> ..... </w:t>
      </w:r>
      <w:r>
        <w:rPr>
          <w:i/>
          <w:sz w:val="27"/>
          <w:szCs w:val="27"/>
          <w:lang w:val="vi-VN"/>
        </w:rPr>
        <w:t>tháng</w:t>
      </w:r>
      <w:r>
        <w:rPr>
          <w:i/>
          <w:sz w:val="27"/>
          <w:szCs w:val="27"/>
        </w:rPr>
        <w:t xml:space="preserve"> ….. </w:t>
      </w:r>
      <w:r>
        <w:rPr>
          <w:i/>
          <w:sz w:val="27"/>
          <w:szCs w:val="27"/>
          <w:lang w:val="vi-VN"/>
        </w:rPr>
        <w:t>năm 20</w:t>
      </w:r>
      <w:r>
        <w:rPr>
          <w:i/>
          <w:sz w:val="27"/>
          <w:szCs w:val="27"/>
        </w:rPr>
        <w:t>26</w:t>
      </w:r>
      <w:r>
        <w:rPr>
          <w:i/>
          <w:sz w:val="27"/>
          <w:szCs w:val="27"/>
          <w:lang w:val="vi-VN"/>
        </w:rPr>
        <w:t xml:space="preserve"> về</w:t>
      </w:r>
      <w:r>
        <w:rPr>
          <w:i/>
          <w:sz w:val="27"/>
          <w:szCs w:val="27"/>
        </w:rPr>
        <w:t xml:space="preserve"> d</w:t>
      </w:r>
      <w:r>
        <w:rPr>
          <w:i/>
          <w:sz w:val="27"/>
          <w:szCs w:val="27"/>
          <w:lang w:val="vi-VN"/>
        </w:rPr>
        <w:t xml:space="preserve">ự thảo Nghị quyết sửa đổi, bổ sung </w:t>
      </w:r>
      <w:r>
        <w:rPr>
          <w:i/>
          <w:sz w:val="27"/>
          <w:szCs w:val="27"/>
        </w:rPr>
        <w:t xml:space="preserve">một số điều của Quy định </w:t>
      </w:r>
      <w:r>
        <w:rPr>
          <w:i/>
          <w:sz w:val="27"/>
          <w:szCs w:val="27"/>
          <w:lang w:val="vi-VN"/>
        </w:rPr>
        <w:t xml:space="preserve">ban hành kèm theo Nghị quyết số 82/2025/NQ-HĐND ngày 30 tháng 12 năm 2025 của Hội đồng nhân dân tỉnh Lâm Đồng; </w:t>
      </w:r>
    </w:p>
    <w:p>
      <w:pPr>
        <w:pStyle w:val="Normal"/>
        <w:tabs>
          <w:tab w:val="clear" w:pos="720"/>
          <w:tab w:val="left" w:pos="567" w:leader="none"/>
        </w:tabs>
        <w:spacing w:lineRule="auto" w:line="252" w:before="120" w:after="120"/>
        <w:ind w:firstLine="567" w:right="0"/>
        <w:jc w:val="both"/>
        <w:rPr>
          <w:bCs/>
          <w:i/>
          <w:sz w:val="27"/>
          <w:szCs w:val="27"/>
        </w:rPr>
      </w:pPr>
      <w:r>
        <w:rPr>
          <w:i/>
          <w:sz w:val="27"/>
          <w:szCs w:val="27"/>
        </w:rPr>
        <w:t>Hội đồng nhân dân tỉnh ban hành Nghị quyết sửa đổi, bổ sung một số điều của Quy định ban hành kèm theo Nghị quyết số 82/2025/NQ-HĐND ngày 30 tháng 12 năm 2025 của Hội đồng nhân dân tỉnh Lâm Đồng</w:t>
      </w:r>
      <w:r>
        <w:rPr>
          <w:bCs/>
          <w:i/>
          <w:sz w:val="27"/>
          <w:szCs w:val="27"/>
        </w:rPr>
        <w:t xml:space="preserve">.  </w:t>
      </w:r>
    </w:p>
    <w:p>
      <w:pPr>
        <w:pStyle w:val="Normal"/>
        <w:tabs>
          <w:tab w:val="clear" w:pos="720"/>
          <w:tab w:val="left" w:pos="567" w:leader="none"/>
        </w:tabs>
        <w:spacing w:before="0" w:after="120"/>
        <w:ind w:firstLine="567" w:right="0"/>
        <w:jc w:val="both"/>
        <w:rPr>
          <w:bCs/>
          <w:i/>
          <w:sz w:val="27"/>
          <w:szCs w:val="27"/>
        </w:rPr>
      </w:pPr>
      <w:r>
        <w:rPr>
          <w:bCs/>
          <w:i/>
          <w:sz w:val="27"/>
          <w:szCs w:val="27"/>
        </w:rPr>
      </w:r>
    </w:p>
    <w:p>
      <w:pPr>
        <w:pStyle w:val="Normal"/>
        <w:spacing w:lineRule="auto" w:line="252" w:before="120" w:after="120"/>
        <w:ind w:firstLine="709" w:right="0"/>
        <w:jc w:val="both"/>
        <w:rPr>
          <w:b/>
          <w:spacing w:val="-4"/>
          <w:sz w:val="27"/>
          <w:szCs w:val="27"/>
          <w:lang w:val="nl-NL"/>
        </w:rPr>
      </w:pPr>
      <w:r>
        <w:rPr>
          <w:b/>
          <w:spacing w:val="-4"/>
          <w:sz w:val="27"/>
          <w:szCs w:val="27"/>
          <w:lang w:val="nl-NL"/>
        </w:rPr>
        <w:t xml:space="preserve">Điều 1. Sửa đổi, bổ sung </w:t>
      </w:r>
      <w:r>
        <w:rPr>
          <w:b/>
          <w:bCs/>
          <w:sz w:val="28"/>
          <w:szCs w:val="28"/>
          <w:lang w:val="nl-NL"/>
        </w:rPr>
        <w:t>một số điều của Quy định ban hành kèm theo Nghị quyết số 82/2025/NQ-HĐND ngày 30 tháng 12 năm 2025 của Hội đồng nhân dân tỉnh Lâm Đồng</w:t>
      </w:r>
    </w:p>
    <w:p>
      <w:pPr>
        <w:pStyle w:val="Normal"/>
        <w:spacing w:lineRule="auto" w:line="252" w:before="120" w:after="120"/>
        <w:ind w:firstLine="709" w:right="0"/>
        <w:jc w:val="both"/>
        <w:rPr>
          <w:spacing w:val="-4"/>
          <w:sz w:val="27"/>
          <w:szCs w:val="27"/>
          <w:lang w:val="nl-NL"/>
        </w:rPr>
      </w:pPr>
      <w:r>
        <w:rPr>
          <w:spacing w:val="-4"/>
          <w:sz w:val="27"/>
          <w:szCs w:val="27"/>
          <w:lang w:val="nl-NL"/>
        </w:rPr>
        <w:t>1. Sửa đổi khoản 8 Điều 3 Quy định ban hành kèm theo Nghị quyết số 82/2025/NQ-HĐND như sau:</w:t>
      </w:r>
    </w:p>
    <w:p>
      <w:pPr>
        <w:pStyle w:val="Normal"/>
        <w:spacing w:lineRule="auto" w:line="252" w:before="120" w:after="120"/>
        <w:ind w:firstLine="709" w:right="0"/>
        <w:jc w:val="both"/>
        <w:rPr>
          <w:sz w:val="27"/>
          <w:szCs w:val="27"/>
        </w:rPr>
      </w:pPr>
      <w:r>
        <w:rPr>
          <w:sz w:val="27"/>
          <w:szCs w:val="27"/>
        </w:rPr>
        <w:t xml:space="preserve">Tại khoản </w:t>
      </w:r>
      <w:r>
        <w:rPr>
          <w:spacing w:val="-4"/>
          <w:sz w:val="27"/>
          <w:szCs w:val="27"/>
          <w:lang w:val="nl-NL"/>
        </w:rPr>
        <w:t>8 Điều 3 quy định:</w:t>
      </w:r>
      <w:r>
        <w:rPr>
          <w:i/>
          <w:sz w:val="27"/>
          <w:szCs w:val="27"/>
        </w:rPr>
        <w:t>"Đất nông nghiệp trong khu dân cư, đất nông nghiệp trong cùng thửa đất có nhà ở được hiểu là phần diện tích đất nông nghiệp nằm trong phạm vi quy hoạch đất ở, đất phi nông nghiệp không phải là đất ở theo quy hoạch sử dụng đất hoặc quy hoạch phân khu theo quy định của pháp luật về quy hoạch đô thị đã được cơ quan có thẩm quyền phê duyệt"</w:t>
      </w:r>
      <w:r>
        <w:rPr>
          <w:sz w:val="27"/>
          <w:szCs w:val="27"/>
        </w:rPr>
        <w:t xml:space="preserve"> </w:t>
      </w:r>
    </w:p>
    <w:p>
      <w:pPr>
        <w:pStyle w:val="Normal"/>
        <w:spacing w:lineRule="auto" w:line="252" w:before="120" w:after="120"/>
        <w:ind w:firstLine="709" w:right="0"/>
        <w:jc w:val="both"/>
        <w:rPr>
          <w:i/>
          <w:sz w:val="27"/>
          <w:szCs w:val="27"/>
        </w:rPr>
      </w:pPr>
      <w:r>
        <w:rPr>
          <w:sz w:val="27"/>
          <w:szCs w:val="27"/>
        </w:rPr>
        <w:t>Sửa thành: "</w:t>
      </w:r>
      <w:r>
        <w:rPr>
          <w:i/>
          <w:sz w:val="27"/>
          <w:szCs w:val="27"/>
        </w:rPr>
        <w:t>Đất nông nghiệp trong khu dân cư, đất nông nghiệp trong cùng thửa đất có nhà ở để xác định giá đất quy định tại Nghị quyết này được hiểu là đất nông nghiệp nằm trong phạm vi quy hoạch đất ở đô thị và khu dân cư nông thôn theo quy hoạch sử dụng đất hoặc quy hoạch phân khu theo quy định của pháp luật về quy hoạch đô thị đã được cơ quan có thẩm quyền phê duyệt".</w:t>
      </w:r>
    </w:p>
    <w:p>
      <w:pPr>
        <w:pStyle w:val="Normal"/>
        <w:spacing w:lineRule="auto" w:line="252" w:before="120" w:after="120"/>
        <w:ind w:firstLine="709" w:right="0"/>
        <w:jc w:val="both"/>
        <w:rPr>
          <w:color w:val="000000"/>
          <w:spacing w:val="-4"/>
          <w:sz w:val="27"/>
          <w:szCs w:val="27"/>
          <w:lang w:val="nl-NL"/>
        </w:rPr>
      </w:pPr>
      <w:r>
        <w:rPr>
          <w:spacing w:val="-4"/>
          <w:sz w:val="27"/>
          <w:szCs w:val="27"/>
          <w:lang w:val="nl-NL"/>
        </w:rPr>
        <w:t xml:space="preserve">2. </w:t>
      </w:r>
      <w:r>
        <w:rPr>
          <w:bCs/>
          <w:spacing w:val="-4"/>
          <w:sz w:val="27"/>
          <w:szCs w:val="27"/>
          <w:lang w:val="nl-NL"/>
        </w:rPr>
        <w:t xml:space="preserve">Sửa đổi, bổ sung địa danh, tên gọi, giá đất của một số tuyến đường, đoạn đường tại Phụ lục ban hành kèm theo Quy định của Nghị quyết số </w:t>
      </w:r>
      <w:r>
        <w:rPr>
          <w:spacing w:val="-4"/>
          <w:sz w:val="27"/>
          <w:szCs w:val="27"/>
          <w:lang w:val="nl-NL"/>
        </w:rPr>
        <w:t>82/2025/NQ-HĐND của Hội đồng nhân dân tỉnh, gồm</w:t>
      </w:r>
      <w:r>
        <w:rPr>
          <w:color w:val="000000"/>
          <w:spacing w:val="-4"/>
          <w:sz w:val="27"/>
          <w:szCs w:val="27"/>
          <w:lang w:val="nl-NL"/>
        </w:rPr>
        <w:t xml:space="preserve">: Phụ lục 01 – phường Xuân Hương – Đà Lạt; Phụ lục 05 – phường Xuân Trường – Đà Lạt; Phụ lục 08 – phường 3 Bảo Lộc; Phụ lục 09 – phường B'Lao; Phụ lục 10 – phường Hàm Thắng; Phụ lục 11 – phường Bình Thuận; Phụ lục 12 – phường Mũi Né; Phụ lục 13 – phường Phú Thủy; Phụ lục 14 – phường Phan Thiết; Phụ lục 15 – phường Tiến Thành; Phụ lục 25 – xã Quảng Lập; Phụ lục 29 – xã Tân Hội; Phụ lục 31 – xã Tà Năng; Phụ lục 34 – xã Nam Hà Lâm Hà; Phụ lục 35 – xã Nam Ban Lâm Hà; Phụ lục 43 – xã Hòa Ninh; Phụ lục 48 – xã Gia Hiệp; Phụ lục 50 – xã Bảo Lâm 2; Phụ lục 54 – xã Đạ Huoai; Phụ lục 57 – xã Đạ Tẻh 2; Phụ lục 61 – xã Cát Tiên 3; Phụ lục 62 – xã Vĩnh Hảo; Phụ lục 63 – xã Liên Hương; Phụ lục 66 – xã Bắc Bình; Phụ lục 83 – xã Hàm Thuận Nam; Phụ lục 96 – xã Hoài Đức; Phụ lục 109 – xã Đắk Song; Phụ lục 110 – xã Đức An; Phụ lục 116 – xã Tuy Đức </w:t>
      </w:r>
      <w:r>
        <w:rPr>
          <w:i/>
          <w:color w:val="000000"/>
          <w:spacing w:val="-4"/>
          <w:sz w:val="27"/>
          <w:szCs w:val="27"/>
          <w:lang w:val="nl-NL"/>
        </w:rPr>
        <w:t>(Chi tiết theo Phụ lục đính kèm)</w:t>
      </w:r>
      <w:r>
        <w:rPr>
          <w:color w:val="000000"/>
          <w:spacing w:val="-4"/>
          <w:sz w:val="27"/>
          <w:szCs w:val="27"/>
          <w:lang w:val="nl-NL"/>
        </w:rPr>
        <w:t>.</w:t>
      </w:r>
    </w:p>
    <w:p>
      <w:pPr>
        <w:pStyle w:val="Normal"/>
        <w:spacing w:lineRule="auto" w:line="252" w:before="120" w:after="120"/>
        <w:ind w:firstLine="709" w:right="0"/>
        <w:jc w:val="both"/>
        <w:rPr>
          <w:b/>
          <w:bCs/>
          <w:sz w:val="28"/>
          <w:szCs w:val="28"/>
          <w:lang w:val="nl-NL"/>
        </w:rPr>
      </w:pPr>
      <w:r>
        <w:rPr>
          <w:b/>
          <w:spacing w:val="-4"/>
          <w:sz w:val="27"/>
          <w:szCs w:val="27"/>
          <w:lang w:val="nl-NL"/>
        </w:rPr>
        <w:t>Điều 2. Bãi bỏ giá đất của một số đoạn đường,</w:t>
      </w:r>
      <w:r>
        <w:rPr>
          <w:spacing w:val="-4"/>
          <w:sz w:val="27"/>
          <w:szCs w:val="27"/>
          <w:lang w:val="nl-NL"/>
        </w:rPr>
        <w:t xml:space="preserve"> </w:t>
      </w:r>
      <w:r>
        <w:rPr>
          <w:b/>
          <w:spacing w:val="-4"/>
          <w:sz w:val="27"/>
          <w:szCs w:val="27"/>
          <w:lang w:val="nl-NL"/>
        </w:rPr>
        <w:t xml:space="preserve">tuyến đường </w:t>
      </w:r>
      <w:r>
        <w:rPr>
          <w:b/>
          <w:bCs/>
          <w:sz w:val="28"/>
          <w:szCs w:val="28"/>
          <w:lang w:val="nl-NL"/>
        </w:rPr>
        <w:t>ban hành kèm theo Quy định của Nghị quyết số 82/2025/NQ-HĐND ngày 30 tháng 12 năm 2025 của Hội đồng nhân dân tỉnh Lâm Đồng</w:t>
      </w:r>
    </w:p>
    <w:p>
      <w:pPr>
        <w:pStyle w:val="Normal"/>
        <w:spacing w:lineRule="auto" w:line="252" w:before="120" w:after="120"/>
        <w:ind w:firstLine="709" w:right="0"/>
        <w:jc w:val="both"/>
        <w:rPr/>
      </w:pPr>
      <w:r>
        <w:rPr>
          <w:spacing w:val="-4"/>
          <w:sz w:val="27"/>
          <w:szCs w:val="27"/>
          <w:lang w:val="nl-NL"/>
        </w:rPr>
        <w:t xml:space="preserve">1. Phường Xuân Trường – Đà Lạt: Bãi bỏ đường có số thứ tự 22 điểm 1, Mục 2, Phụ lục số 05. </w:t>
      </w:r>
    </w:p>
    <w:p>
      <w:pPr>
        <w:pStyle w:val="Normal"/>
        <w:spacing w:lineRule="auto" w:line="252" w:before="120" w:after="120"/>
        <w:ind w:firstLine="709" w:right="0"/>
        <w:jc w:val="both"/>
        <w:rPr/>
      </w:pPr>
      <w:r>
        <w:rPr>
          <w:spacing w:val="-4"/>
          <w:sz w:val="27"/>
          <w:szCs w:val="27"/>
          <w:lang w:val="nl-NL"/>
        </w:rPr>
        <w:t xml:space="preserve">2. Xã Tân Hội: Bãi bỏ đường có số thứ tự 13.12, 13.13, 13.14, 13.15 điểm 1 </w:t>
      </w:r>
      <w:r>
        <w:rPr>
          <w:color w:val="000000"/>
          <w:spacing w:val="-4"/>
          <w:sz w:val="27"/>
          <w:szCs w:val="27"/>
          <w:lang w:val="nl-NL"/>
        </w:rPr>
        <w:t xml:space="preserve">và </w:t>
      </w:r>
      <w:r>
        <w:rPr>
          <w:spacing w:val="-4"/>
          <w:sz w:val="27"/>
          <w:szCs w:val="27"/>
          <w:lang w:val="nl-NL"/>
        </w:rPr>
        <w:t>13.12, 13.13, 13.14, 13.15</w:t>
      </w:r>
      <w:r>
        <w:rPr>
          <w:color w:val="000000"/>
          <w:spacing w:val="-4"/>
          <w:sz w:val="27"/>
          <w:szCs w:val="27"/>
          <w:lang w:val="nl-NL"/>
        </w:rPr>
        <w:t>, điểm 2, Mục 2</w:t>
      </w:r>
      <w:r>
        <w:rPr>
          <w:spacing w:val="-4"/>
          <w:sz w:val="27"/>
          <w:szCs w:val="27"/>
          <w:lang w:val="nl-NL"/>
        </w:rPr>
        <w:t>, Phụ lục số 29.</w:t>
      </w:r>
    </w:p>
    <w:p>
      <w:pPr>
        <w:pStyle w:val="Normal"/>
        <w:spacing w:lineRule="auto" w:line="252" w:before="120" w:after="120"/>
        <w:ind w:firstLine="709" w:right="0"/>
        <w:jc w:val="both"/>
        <w:rPr/>
      </w:pPr>
      <w:r>
        <w:rPr>
          <w:spacing w:val="-4"/>
          <w:sz w:val="27"/>
          <w:szCs w:val="27"/>
          <w:lang w:val="nl-NL"/>
        </w:rPr>
        <w:t>3. Xã Nam Hà Lâm Hà: Bãi bỏ đường có số thứ tự 3.10, 7.2 điểm 1 và 3.10, 7.2 điểm 2, Mục 2, Phụ lục số 34.</w:t>
      </w:r>
    </w:p>
    <w:p>
      <w:pPr>
        <w:pStyle w:val="Normal"/>
        <w:spacing w:lineRule="auto" w:line="252" w:before="120" w:after="120"/>
        <w:ind w:firstLine="709" w:right="0"/>
        <w:jc w:val="both"/>
        <w:rPr/>
      </w:pPr>
      <w:r>
        <w:rPr>
          <w:spacing w:val="-4"/>
          <w:sz w:val="27"/>
          <w:szCs w:val="27"/>
          <w:lang w:val="nl-NL"/>
        </w:rPr>
        <w:t xml:space="preserve">4. Xã Bảo Lâm 2: Bãi bỏ đường có số thứ tự 35, 68, điểm 1 và 35, 68, điểm 2, Mục 2, Phụ lục số 50.  </w:t>
      </w:r>
    </w:p>
    <w:p>
      <w:pPr>
        <w:pStyle w:val="Normal"/>
        <w:spacing w:lineRule="auto" w:line="252" w:before="120" w:after="120"/>
        <w:ind w:firstLine="709" w:right="0"/>
        <w:jc w:val="both"/>
        <w:rPr/>
      </w:pPr>
      <w:r>
        <w:rPr>
          <w:spacing w:val="-4"/>
          <w:sz w:val="27"/>
          <w:szCs w:val="27"/>
          <w:lang w:val="nl-NL"/>
        </w:rPr>
        <w:t>5. Xã Đạ Tẻh 2: Bãi bỏ đường có số thứ tự 3.86, 3.87, điểm 1, Mục 2, Phụ lục số 57.</w:t>
      </w:r>
    </w:p>
    <w:p>
      <w:pPr>
        <w:pStyle w:val="Normal"/>
        <w:spacing w:lineRule="auto" w:line="252" w:before="120" w:after="120"/>
        <w:ind w:firstLine="709" w:right="0"/>
        <w:jc w:val="both"/>
        <w:rPr/>
      </w:pPr>
      <w:r>
        <w:rPr>
          <w:spacing w:val="-4"/>
          <w:sz w:val="27"/>
          <w:szCs w:val="27"/>
          <w:lang w:val="nl-NL"/>
        </w:rPr>
        <w:t xml:space="preserve">6. Xã Hoài Đức: Bãi bỏ đường có số thứ tự 1, 2, 3, 4, 5, 149 điểm 1 </w:t>
      </w:r>
      <w:r>
        <w:rPr>
          <w:color w:val="000000"/>
          <w:spacing w:val="-4"/>
          <w:sz w:val="27"/>
          <w:szCs w:val="27"/>
          <w:lang w:val="nl-NL"/>
        </w:rPr>
        <w:t xml:space="preserve">và </w:t>
      </w:r>
      <w:r>
        <w:rPr>
          <w:spacing w:val="-4"/>
          <w:sz w:val="27"/>
          <w:szCs w:val="27"/>
          <w:lang w:val="nl-NL"/>
        </w:rPr>
        <w:t xml:space="preserve">1, 2, 3, 4, 5, </w:t>
      </w:r>
      <w:r>
        <w:rPr>
          <w:color w:val="000000"/>
          <w:spacing w:val="-4"/>
          <w:sz w:val="27"/>
          <w:szCs w:val="27"/>
          <w:lang w:val="nl-NL"/>
        </w:rPr>
        <w:t>149, điểm 2, Mục 2</w:t>
      </w:r>
      <w:r>
        <w:rPr>
          <w:spacing w:val="-4"/>
          <w:sz w:val="27"/>
          <w:szCs w:val="27"/>
          <w:lang w:val="nl-NL"/>
        </w:rPr>
        <w:t>, Phụ lục số 96.</w:t>
      </w:r>
    </w:p>
    <w:p>
      <w:pPr>
        <w:pStyle w:val="Normal"/>
        <w:spacing w:lineRule="auto" w:line="252" w:before="120" w:after="120"/>
        <w:ind w:firstLine="709" w:right="0"/>
        <w:jc w:val="both"/>
        <w:rPr/>
      </w:pPr>
      <w:r>
        <w:rPr>
          <w:spacing w:val="-4"/>
          <w:sz w:val="27"/>
          <w:szCs w:val="27"/>
          <w:lang w:val="nl-NL"/>
        </w:rPr>
        <w:t>7. Xã Đắk Song: Bãi bỏ đường có số thứ tự 7, 8 điểm 1,</w:t>
      </w:r>
      <w:r>
        <w:rPr>
          <w:color w:val="FF0000"/>
          <w:spacing w:val="-4"/>
          <w:sz w:val="27"/>
          <w:szCs w:val="27"/>
          <w:lang w:val="nl-NL"/>
        </w:rPr>
        <w:t xml:space="preserve"> </w:t>
      </w:r>
      <w:r>
        <w:rPr>
          <w:color w:val="000000"/>
          <w:spacing w:val="-4"/>
          <w:sz w:val="27"/>
          <w:szCs w:val="27"/>
          <w:lang w:val="nl-NL"/>
        </w:rPr>
        <w:t>Mục 2</w:t>
      </w:r>
      <w:r>
        <w:rPr>
          <w:spacing w:val="-4"/>
          <w:sz w:val="27"/>
          <w:szCs w:val="27"/>
          <w:lang w:val="nl-NL"/>
        </w:rPr>
        <w:t>, Phụ lục số 109.</w:t>
      </w:r>
    </w:p>
    <w:p>
      <w:pPr>
        <w:pStyle w:val="Normal"/>
        <w:spacing w:lineRule="auto" w:line="252" w:before="120" w:after="120"/>
        <w:ind w:firstLine="709" w:right="0"/>
        <w:jc w:val="both"/>
        <w:rPr/>
      </w:pPr>
      <w:r>
        <w:rPr>
          <w:spacing w:val="-4"/>
          <w:sz w:val="27"/>
          <w:szCs w:val="27"/>
          <w:lang w:val="nl-NL"/>
        </w:rPr>
        <w:t xml:space="preserve">8. Xã Tuy Đức: Bãi bỏ các đường: "Từ ngã ba Trung đoàn 726 đến cầu mới (đập đội 2)", "Từ cầu mới (đập đội 2) đến hết mỏ đá", "Từ hết mỏ đá đến giáp xã Quảng Trực", số thứ tự 2, điểm 1 </w:t>
      </w:r>
      <w:r>
        <w:rPr>
          <w:color w:val="000000"/>
          <w:spacing w:val="-4"/>
          <w:sz w:val="27"/>
          <w:szCs w:val="27"/>
          <w:lang w:val="nl-NL"/>
        </w:rPr>
        <w:t>và các đường:</w:t>
      </w:r>
      <w:r>
        <w:rPr>
          <w:color w:val="FF0000"/>
          <w:spacing w:val="-4"/>
          <w:sz w:val="27"/>
          <w:szCs w:val="27"/>
          <w:lang w:val="nl-NL"/>
        </w:rPr>
        <w:t xml:space="preserve"> </w:t>
      </w:r>
      <w:r>
        <w:rPr>
          <w:spacing w:val="-4"/>
          <w:sz w:val="27"/>
          <w:szCs w:val="27"/>
          <w:lang w:val="nl-NL"/>
        </w:rPr>
        <w:t>"Từ ngã ba Trung đoàn 726 đến cầu mới (đập đội 2)", "Từ cầu mới (đập đội 2) đến hết mỏ đá", "Từ hết mỏ đá đến giáp xã Quảng Trực", số thứ tự 2</w:t>
      </w:r>
      <w:r>
        <w:rPr>
          <w:color w:val="FF0000"/>
          <w:spacing w:val="-4"/>
          <w:sz w:val="27"/>
          <w:szCs w:val="27"/>
          <w:lang w:val="nl-NL"/>
        </w:rPr>
        <w:t xml:space="preserve"> </w:t>
      </w:r>
      <w:r>
        <w:rPr>
          <w:color w:val="000000"/>
          <w:spacing w:val="-4"/>
          <w:sz w:val="27"/>
          <w:szCs w:val="27"/>
          <w:lang w:val="nl-NL"/>
        </w:rPr>
        <w:t>, điểm 2, Mục 2</w:t>
      </w:r>
      <w:r>
        <w:rPr>
          <w:spacing w:val="-4"/>
          <w:sz w:val="27"/>
          <w:szCs w:val="27"/>
          <w:lang w:val="nl-NL"/>
        </w:rPr>
        <w:t>, Phụ lục số 116.</w:t>
      </w:r>
    </w:p>
    <w:p>
      <w:pPr>
        <w:pStyle w:val="Normal"/>
        <w:spacing w:lineRule="auto" w:line="252" w:before="120" w:after="120"/>
        <w:ind w:firstLine="709" w:right="0"/>
        <w:jc w:val="both"/>
        <w:rPr>
          <w:b/>
          <w:sz w:val="27"/>
          <w:szCs w:val="27"/>
          <w:lang w:val="nl-NL"/>
        </w:rPr>
      </w:pPr>
      <w:r>
        <w:rPr>
          <w:b/>
          <w:sz w:val="27"/>
          <w:szCs w:val="27"/>
          <w:lang w:val="nl-NL"/>
        </w:rPr>
        <w:t>Điều 3. Tổ chức thực hiện</w:t>
      </w:r>
    </w:p>
    <w:p>
      <w:pPr>
        <w:pStyle w:val="Normal"/>
        <w:spacing w:lineRule="auto" w:line="252" w:before="120" w:after="120"/>
        <w:ind w:firstLine="709" w:right="0"/>
        <w:jc w:val="both"/>
        <w:rPr>
          <w:sz w:val="27"/>
          <w:szCs w:val="27"/>
          <w:lang w:val="nl-NL"/>
        </w:rPr>
      </w:pPr>
      <w:r>
        <w:rPr>
          <w:sz w:val="27"/>
          <w:szCs w:val="27"/>
          <w:lang w:val="nl-NL"/>
        </w:rPr>
        <w:t>1. Giao Ủy ban nhân dân tỉnh tổ chức triển khai thực hiện Nghị quyết này.</w:t>
      </w:r>
    </w:p>
    <w:p>
      <w:pPr>
        <w:pStyle w:val="Normal"/>
        <w:spacing w:lineRule="auto" w:line="252" w:before="120" w:after="120"/>
        <w:ind w:firstLine="709" w:right="0"/>
        <w:jc w:val="both"/>
        <w:rPr/>
      </w:pPr>
      <w:r>
        <w:rPr>
          <w:sz w:val="27"/>
          <w:szCs w:val="27"/>
          <w:lang w:val="nl-NL"/>
        </w:rPr>
        <w:t>2. Thường trực Hội đồng nhân dân tỉnh, các Ban của Hội đồng nhân dân tỉnh, các Tổ đại biểu Hội đồng nhân dân tỉnh và đại biểu Hội đồng nhân dân tỉnh giám sát việc thực hiện Nghị quyết theo quy định của pháp luật.</w:t>
      </w:r>
    </w:p>
    <w:p>
      <w:pPr>
        <w:pStyle w:val="Normal"/>
        <w:spacing w:lineRule="auto" w:line="252" w:before="120" w:after="120"/>
        <w:ind w:firstLine="709" w:right="0"/>
        <w:jc w:val="both"/>
        <w:rPr/>
      </w:pPr>
      <w:r>
        <w:rPr>
          <w:b/>
          <w:sz w:val="27"/>
          <w:szCs w:val="27"/>
          <w:lang w:val="nl-NL"/>
        </w:rPr>
        <w:t>Điều 4. Điều khoản thi hành</w:t>
      </w:r>
    </w:p>
    <w:p>
      <w:pPr>
        <w:pStyle w:val="Normal"/>
        <w:spacing w:lineRule="auto" w:line="252" w:before="120" w:after="120"/>
        <w:ind w:firstLine="709" w:right="0"/>
        <w:jc w:val="both"/>
        <w:rPr>
          <w:rStyle w:val="fontstyle21"/>
          <w:rFonts w:ascii="Times New Roman" w:hAnsi="Times New Roman" w:cs="Times New Roman"/>
          <w:sz w:val="27"/>
          <w:szCs w:val="27"/>
        </w:rPr>
      </w:pPr>
      <w:r>
        <w:rPr>
          <w:sz w:val="27"/>
          <w:szCs w:val="27"/>
          <w:lang w:val="nl-NL"/>
        </w:rPr>
        <w:t>1. Nghị</w:t>
      </w:r>
      <w:r>
        <w:rPr>
          <w:rStyle w:val="fontstyle21"/>
          <w:rFonts w:cs="Times New Roman"/>
          <w:sz w:val="27"/>
          <w:szCs w:val="27"/>
        </w:rPr>
        <w:t xml:space="preserve"> quyết này có hiệu lực thi hành kể từ ngày ký ban hành.</w:t>
      </w:r>
    </w:p>
    <w:p>
      <w:pPr>
        <w:pStyle w:val="Normal"/>
        <w:spacing w:lineRule="auto" w:line="252" w:before="120" w:after="120"/>
        <w:ind w:firstLine="709" w:right="0"/>
        <w:jc w:val="both"/>
        <w:rPr>
          <w:bCs/>
          <w:sz w:val="27"/>
          <w:szCs w:val="27"/>
        </w:rPr>
      </w:pPr>
      <w:r>
        <w:rPr>
          <w:bCs/>
          <w:sz w:val="27"/>
          <w:szCs w:val="27"/>
        </w:rPr>
        <w:t xml:space="preserve">2. </w:t>
      </w:r>
      <w:r>
        <w:rPr>
          <w:bCs/>
          <w:spacing w:val="4"/>
          <w:sz w:val="27"/>
          <w:szCs w:val="27"/>
        </w:rPr>
        <w:t>Những nội dung khác không quy định tại Nghị quyết này tiếp tục thực hiện theo Nghị quyết số 82/2025/NQ-HĐND ngày 30 tháng 12 năm 2025 của Hội đồng nhân dân tỉnh</w:t>
      </w:r>
      <w:r>
        <w:rPr>
          <w:bCs/>
          <w:sz w:val="27"/>
          <w:szCs w:val="27"/>
        </w:rPr>
        <w:t>.</w:t>
      </w:r>
    </w:p>
    <w:p>
      <w:pPr>
        <w:pStyle w:val="Normal"/>
        <w:spacing w:lineRule="auto" w:line="252" w:before="120" w:after="120"/>
        <w:ind w:firstLine="709" w:right="0"/>
        <w:jc w:val="both"/>
        <w:rPr>
          <w:bCs/>
          <w:sz w:val="27"/>
          <w:szCs w:val="27"/>
        </w:rPr>
      </w:pPr>
      <w:r>
        <w:rPr>
          <w:rStyle w:val="fontstyle21"/>
          <w:rFonts w:cs="Times New Roman"/>
          <w:sz w:val="27"/>
          <w:szCs w:val="27"/>
        </w:rPr>
        <w:t>Nghị quyết này đã được Hội đồng nhân dân tỉnh Lâm Đồng Khóa …. Kỳ họp thứ ….. thông qua ngày …. tháng …. năm 2026.</w:t>
      </w:r>
      <w:r>
        <w:rPr>
          <w:bCs/>
          <w:sz w:val="27"/>
          <w:szCs w:val="27"/>
        </w:rPr>
        <w:t xml:space="preserve">/. </w:t>
      </w:r>
    </w:p>
    <w:p>
      <w:pPr>
        <w:pStyle w:val="Normal"/>
        <w:spacing w:lineRule="auto" w:line="252" w:before="80" w:after="80"/>
        <w:ind w:firstLine="709" w:right="0"/>
        <w:jc w:val="both"/>
        <w:rPr>
          <w:bCs/>
          <w:sz w:val="8"/>
          <w:szCs w:val="28"/>
        </w:rPr>
      </w:pPr>
      <w:r>
        <w:rPr>
          <w:bCs/>
          <w:sz w:val="8"/>
          <w:szCs w:val="28"/>
        </w:rPr>
      </w:r>
    </w:p>
    <w:tbl>
      <w:tblPr>
        <w:tblW w:w="9321" w:type="dxa"/>
        <w:jc w:val="left"/>
        <w:tblInd w:w="0" w:type="dxa"/>
        <w:tblLayout w:type="fixed"/>
        <w:tblCellMar>
          <w:top w:w="0" w:type="dxa"/>
          <w:left w:w="108" w:type="dxa"/>
          <w:bottom w:w="0" w:type="dxa"/>
          <w:right w:w="108" w:type="dxa"/>
        </w:tblCellMar>
      </w:tblPr>
      <w:tblGrid>
        <w:gridCol w:w="5778"/>
        <w:gridCol w:w="3543"/>
      </w:tblGrid>
      <w:tr>
        <w:trPr/>
        <w:tc>
          <w:tcPr>
            <w:tcW w:w="5778" w:type="dxa"/>
            <w:tcBorders/>
          </w:tcPr>
          <w:p>
            <w:pPr>
              <w:pStyle w:val="Normal"/>
              <w:spacing w:lineRule="auto" w:line="288"/>
              <w:rPr/>
            </w:pPr>
            <w:r>
              <w:rPr>
                <w:b/>
                <w:i/>
                <w:color w:val="000000"/>
                <w:lang w:val="nl-NL"/>
              </w:rPr>
              <w:t>Nơi nhận:</w:t>
            </w:r>
            <w:r>
              <w:rPr>
                <w:color w:val="000000"/>
                <w:sz w:val="26"/>
                <w:lang w:val="nl-NL"/>
              </w:rPr>
              <w:tab/>
              <w:tab/>
              <w:tab/>
              <w:tab/>
            </w:r>
          </w:p>
          <w:p>
            <w:pPr>
              <w:pStyle w:val="Normal"/>
              <w:spacing w:lineRule="exact" w:line="240"/>
              <w:rPr/>
            </w:pPr>
            <w:r>
              <w:rPr>
                <w:color w:val="000000"/>
                <w:sz w:val="22"/>
                <w:szCs w:val="22"/>
                <w:lang w:val="vi-VN"/>
              </w:rPr>
              <w:t xml:space="preserve">- </w:t>
            </w:r>
            <w:r>
              <w:rPr>
                <w:color w:val="000000"/>
                <w:sz w:val="22"/>
                <w:szCs w:val="22"/>
                <w:lang w:val="nl-NL"/>
              </w:rPr>
              <w:t>Ủy ban Thường vụ</w:t>
            </w:r>
            <w:r>
              <w:rPr>
                <w:color w:val="000000"/>
                <w:sz w:val="22"/>
                <w:szCs w:val="22"/>
                <w:lang w:val="vi-VN"/>
              </w:rPr>
              <w:t xml:space="preserve"> Quốc hội;</w:t>
            </w:r>
          </w:p>
          <w:p>
            <w:pPr>
              <w:pStyle w:val="Normal"/>
              <w:spacing w:lineRule="exact" w:line="240"/>
              <w:rPr>
                <w:color w:val="000000"/>
                <w:sz w:val="22"/>
                <w:szCs w:val="22"/>
                <w:lang w:val="vi-VN"/>
              </w:rPr>
            </w:pPr>
            <w:r>
              <w:rPr>
                <w:color w:val="000000"/>
                <w:sz w:val="22"/>
                <w:szCs w:val="22"/>
                <w:lang w:val="vi-VN"/>
              </w:rPr>
              <w:t>- Chính phủ;</w:t>
            </w:r>
          </w:p>
          <w:p>
            <w:pPr>
              <w:pStyle w:val="Normal"/>
              <w:rPr>
                <w:color w:val="000000"/>
                <w:sz w:val="22"/>
                <w:szCs w:val="22"/>
                <w:lang w:val="es-MX"/>
              </w:rPr>
            </w:pPr>
            <w:r>
              <w:rPr>
                <w:color w:val="000000"/>
                <w:sz w:val="22"/>
                <w:szCs w:val="22"/>
                <w:lang w:val="es-MX"/>
              </w:rPr>
              <w:t>- Văn phòng: Quốc hội, Chính phủ;</w:t>
            </w:r>
          </w:p>
          <w:p>
            <w:pPr>
              <w:pStyle w:val="Normal"/>
              <w:spacing w:lineRule="exact" w:line="240"/>
              <w:rPr>
                <w:color w:val="000000"/>
                <w:spacing w:val="-10"/>
                <w:sz w:val="22"/>
                <w:szCs w:val="22"/>
                <w:lang w:val="vi-VN"/>
              </w:rPr>
            </w:pPr>
            <w:r>
              <w:rPr>
                <w:color w:val="000000"/>
                <w:spacing w:val="-10"/>
                <w:sz w:val="22"/>
                <w:szCs w:val="22"/>
                <w:lang w:val="vi-VN"/>
              </w:rPr>
              <w:t>- Các Bộ: TC, NN và MT, TP;</w:t>
            </w:r>
          </w:p>
          <w:p>
            <w:pPr>
              <w:pStyle w:val="Normal"/>
              <w:jc w:val="both"/>
              <w:rPr>
                <w:color w:val="000000"/>
                <w:sz w:val="22"/>
                <w:szCs w:val="22"/>
                <w:lang w:val="vi-VN"/>
              </w:rPr>
            </w:pPr>
            <w:r>
              <w:rPr>
                <w:color w:val="000000"/>
                <w:sz w:val="22"/>
                <w:szCs w:val="22"/>
                <w:lang w:val="vi-VN"/>
              </w:rPr>
              <w:t>- Cục KTVB và QLXLVPHC - Bộ Tư pháp;</w:t>
            </w:r>
          </w:p>
          <w:p>
            <w:pPr>
              <w:pStyle w:val="Normal"/>
              <w:jc w:val="both"/>
              <w:rPr>
                <w:color w:val="000000"/>
                <w:sz w:val="22"/>
                <w:szCs w:val="22"/>
                <w:lang w:val="vi-VN"/>
              </w:rPr>
            </w:pPr>
            <w:r>
              <w:rPr>
                <w:color w:val="000000"/>
                <w:sz w:val="22"/>
                <w:szCs w:val="22"/>
                <w:lang w:val="vi-VN"/>
              </w:rPr>
              <w:t>- Vụ Pháp chế - Bộ Nông nghiệp và Môi trường;</w:t>
            </w:r>
          </w:p>
          <w:p>
            <w:pPr>
              <w:pStyle w:val="Normal"/>
              <w:jc w:val="both"/>
              <w:rPr/>
            </w:pPr>
            <w:r>
              <w:rPr>
                <w:color w:val="000000"/>
                <w:sz w:val="22"/>
                <w:szCs w:val="22"/>
                <w:lang w:val="vi-VN"/>
              </w:rPr>
              <w:t>- TT</w:t>
            </w:r>
            <w:r>
              <w:rPr>
                <w:color w:val="000000"/>
                <w:sz w:val="22"/>
                <w:szCs w:val="22"/>
              </w:rPr>
              <w:t>:</w:t>
            </w:r>
            <w:r>
              <w:rPr>
                <w:color w:val="000000"/>
                <w:sz w:val="22"/>
                <w:szCs w:val="22"/>
                <w:lang w:val="vi-VN"/>
              </w:rPr>
              <w:t xml:space="preserve"> Tỉnh ủy, HĐND tỉnh;</w:t>
            </w:r>
          </w:p>
          <w:p>
            <w:pPr>
              <w:pStyle w:val="Normal"/>
              <w:jc w:val="both"/>
              <w:rPr>
                <w:color w:val="000000"/>
                <w:sz w:val="22"/>
                <w:szCs w:val="22"/>
                <w:lang w:val="vi-VN"/>
              </w:rPr>
            </w:pPr>
            <w:r>
              <w:rPr>
                <w:color w:val="000000"/>
                <w:sz w:val="22"/>
                <w:szCs w:val="22"/>
                <w:lang w:val="vi-VN"/>
              </w:rPr>
              <w:t>- Đoàn Đại biểu QH tỉnh;</w:t>
            </w:r>
          </w:p>
          <w:p>
            <w:pPr>
              <w:pStyle w:val="Normal"/>
              <w:jc w:val="both"/>
              <w:rPr>
                <w:color w:val="000000"/>
                <w:sz w:val="22"/>
                <w:szCs w:val="22"/>
              </w:rPr>
            </w:pPr>
            <w:r>
              <w:rPr>
                <w:color w:val="000000"/>
                <w:sz w:val="22"/>
                <w:szCs w:val="22"/>
              </w:rPr>
              <w:t>- UBND tỉnh;</w:t>
            </w:r>
          </w:p>
          <w:p>
            <w:pPr>
              <w:pStyle w:val="Normal"/>
              <w:rPr>
                <w:color w:val="000000"/>
                <w:sz w:val="22"/>
                <w:szCs w:val="22"/>
                <w:lang w:val="es-MX"/>
              </w:rPr>
            </w:pPr>
            <w:r>
              <w:rPr>
                <w:color w:val="000000"/>
                <w:sz w:val="22"/>
                <w:szCs w:val="22"/>
                <w:lang w:val="es-MX"/>
              </w:rPr>
              <w:t>- BTT UBMTTQVN tỉnh;</w:t>
            </w:r>
          </w:p>
          <w:p>
            <w:pPr>
              <w:pStyle w:val="Normal"/>
              <w:rPr>
                <w:color w:val="000000"/>
                <w:sz w:val="22"/>
                <w:szCs w:val="22"/>
                <w:lang w:val="es-MX"/>
              </w:rPr>
            </w:pPr>
            <w:r>
              <w:rPr>
                <w:color w:val="000000"/>
                <w:sz w:val="22"/>
                <w:szCs w:val="22"/>
                <w:lang w:val="es-MX"/>
              </w:rPr>
              <w:t>- Đại biểu HĐND tỉnh Khóa X;</w:t>
            </w:r>
          </w:p>
          <w:p>
            <w:pPr>
              <w:pStyle w:val="Normal"/>
              <w:rPr>
                <w:color w:val="000000"/>
                <w:sz w:val="22"/>
                <w:szCs w:val="22"/>
                <w:lang w:val="es-MX"/>
              </w:rPr>
            </w:pPr>
            <w:r>
              <w:rPr>
                <w:color w:val="000000"/>
                <w:sz w:val="22"/>
                <w:szCs w:val="22"/>
                <w:lang w:val="es-MX"/>
              </w:rPr>
              <w:t>- Các sở, ban, ngành, tổ chức CT-XH cấp tỉnh;</w:t>
            </w:r>
          </w:p>
          <w:p>
            <w:pPr>
              <w:pStyle w:val="Normal"/>
              <w:rPr/>
            </w:pPr>
            <w:r>
              <w:rPr>
                <w:color w:val="000000"/>
                <w:sz w:val="22"/>
                <w:szCs w:val="22"/>
                <w:lang w:val="es-MX"/>
              </w:rPr>
              <w:t>- TT. HĐND, UBND các xã, ph</w:t>
            </w:r>
            <w:r>
              <w:rPr>
                <w:rFonts w:hint="eastAsia"/>
                <w:color w:val="000000"/>
                <w:sz w:val="22"/>
                <w:szCs w:val="22"/>
                <w:lang w:val="es-MX"/>
              </w:rPr>
              <w:t>ư</w:t>
            </w:r>
            <w:r>
              <w:rPr>
                <w:color w:val="000000"/>
                <w:sz w:val="22"/>
                <w:szCs w:val="22"/>
                <w:lang w:val="es-MX"/>
              </w:rPr>
              <w:t>ờng, đặc khu;</w:t>
            </w:r>
          </w:p>
          <w:p>
            <w:pPr>
              <w:pStyle w:val="Normal"/>
              <w:rPr>
                <w:color w:val="000000"/>
                <w:sz w:val="22"/>
                <w:szCs w:val="22"/>
                <w:lang w:val="es-MX"/>
              </w:rPr>
            </w:pPr>
            <w:r>
              <w:rPr>
                <w:color w:val="000000"/>
                <w:sz w:val="22"/>
                <w:szCs w:val="22"/>
                <w:lang w:val="es-MX"/>
              </w:rPr>
              <w:t>- Báo và Phát thanh, Truyền hình Lâm Đồng;</w:t>
            </w:r>
          </w:p>
          <w:p>
            <w:pPr>
              <w:pStyle w:val="Normal"/>
              <w:rPr>
                <w:color w:val="000000"/>
                <w:sz w:val="22"/>
                <w:szCs w:val="22"/>
                <w:lang w:val="es-MX"/>
              </w:rPr>
            </w:pPr>
            <w:r>
              <w:rPr>
                <w:color w:val="000000"/>
                <w:sz w:val="22"/>
                <w:szCs w:val="22"/>
                <w:lang w:val="es-MX"/>
              </w:rPr>
              <w:t>- Trung tâm hạ tầng và công nghệ số tỉnh;</w:t>
            </w:r>
          </w:p>
          <w:p>
            <w:pPr>
              <w:pStyle w:val="Normal"/>
              <w:rPr>
                <w:color w:val="000000"/>
                <w:sz w:val="22"/>
                <w:szCs w:val="22"/>
                <w:lang w:val="es-MX"/>
              </w:rPr>
            </w:pPr>
            <w:r>
              <w:rPr>
                <w:color w:val="000000"/>
                <w:sz w:val="22"/>
                <w:szCs w:val="22"/>
                <w:lang w:val="es-MX"/>
              </w:rPr>
              <w:t>- Trung tâm LTLS tỉnh;</w:t>
            </w:r>
          </w:p>
          <w:p>
            <w:pPr>
              <w:pStyle w:val="Normal"/>
              <w:jc w:val="both"/>
              <w:rPr>
                <w:color w:val="000000"/>
                <w:sz w:val="22"/>
                <w:szCs w:val="22"/>
                <w:lang w:val="es-MX"/>
              </w:rPr>
            </w:pPr>
            <w:r>
              <w:rPr>
                <w:color w:val="000000"/>
                <w:sz w:val="22"/>
                <w:szCs w:val="22"/>
                <w:lang w:val="vi-VN"/>
              </w:rPr>
              <w:t xml:space="preserve">- Trung tâm Công báo - Tin học </w:t>
            </w:r>
            <w:r>
              <w:rPr>
                <w:color w:val="000000"/>
                <w:sz w:val="22"/>
                <w:szCs w:val="22"/>
                <w:shd w:fill="FFFFFF" w:val="clear"/>
                <w:lang w:val="vi-VN"/>
              </w:rPr>
              <w:t>tỉnh</w:t>
            </w:r>
            <w:r>
              <w:rPr>
                <w:color w:val="000000"/>
                <w:sz w:val="22"/>
                <w:szCs w:val="22"/>
                <w:lang w:val="vi-VN"/>
              </w:rPr>
              <w:t>;</w:t>
            </w:r>
          </w:p>
          <w:p>
            <w:pPr>
              <w:pStyle w:val="Normal"/>
              <w:rPr/>
            </w:pPr>
            <w:r>
              <w:rPr>
                <w:color w:val="000000"/>
                <w:sz w:val="22"/>
                <w:szCs w:val="22"/>
                <w:lang w:val="es-MX"/>
              </w:rPr>
              <w:t>- Trang Thông tin điện tử c</w:t>
            </w:r>
            <w:r>
              <w:rPr>
                <w:rFonts w:hint="eastAsia"/>
                <w:color w:val="000000"/>
                <w:sz w:val="22"/>
                <w:szCs w:val="22"/>
                <w:lang w:val="es-MX"/>
              </w:rPr>
              <w:t>ơ</w:t>
            </w:r>
            <w:r>
              <w:rPr>
                <w:color w:val="000000"/>
                <w:sz w:val="22"/>
                <w:szCs w:val="22"/>
                <w:lang w:val="es-MX"/>
              </w:rPr>
              <w:t xml:space="preserve"> quan (đăng tải);</w:t>
            </w:r>
          </w:p>
          <w:p>
            <w:pPr>
              <w:pStyle w:val="Normal"/>
              <w:jc w:val="both"/>
              <w:rPr>
                <w:bCs/>
                <w:color w:val="000000"/>
                <w:sz w:val="27"/>
                <w:szCs w:val="27"/>
                <w:lang w:val="vi-VN"/>
              </w:rPr>
            </w:pPr>
            <w:r>
              <w:rPr>
                <w:color w:val="000000"/>
                <w:sz w:val="22"/>
                <w:szCs w:val="22"/>
                <w:lang w:val="es-MX"/>
              </w:rPr>
              <w:t>- L</w:t>
            </w:r>
            <w:r>
              <w:rPr>
                <w:rFonts w:hint="eastAsia"/>
                <w:color w:val="000000"/>
                <w:sz w:val="22"/>
                <w:szCs w:val="22"/>
                <w:lang w:val="es-MX"/>
              </w:rPr>
              <w:t>ư</w:t>
            </w:r>
            <w:r>
              <w:rPr>
                <w:color w:val="000000"/>
                <w:sz w:val="22"/>
                <w:szCs w:val="22"/>
                <w:lang w:val="es-MX"/>
              </w:rPr>
              <w:t>u: VT, HSKH.</w:t>
            </w:r>
          </w:p>
        </w:tc>
        <w:tc>
          <w:tcPr>
            <w:tcW w:w="3543" w:type="dxa"/>
            <w:tcBorders/>
          </w:tcPr>
          <w:p>
            <w:pPr>
              <w:pStyle w:val="Normal"/>
              <w:spacing w:lineRule="auto" w:line="252" w:before="120" w:after="0"/>
              <w:jc w:val="center"/>
              <w:rPr>
                <w:b/>
                <w:bCs/>
                <w:color w:val="000000"/>
                <w:sz w:val="28"/>
                <w:lang w:val="nl-NL"/>
              </w:rPr>
            </w:pPr>
            <w:r>
              <w:rPr>
                <w:b/>
                <w:bCs/>
                <w:color w:val="000000"/>
                <w:sz w:val="28"/>
                <w:lang w:val="nl-NL"/>
              </w:rPr>
              <w:t>CHỦ TỊCH</w:t>
            </w:r>
          </w:p>
          <w:p>
            <w:pPr>
              <w:pStyle w:val="Normal"/>
              <w:spacing w:lineRule="auto" w:line="252" w:before="120" w:after="0"/>
              <w:jc w:val="center"/>
              <w:rPr>
                <w:b/>
                <w:bCs/>
                <w:color w:val="000000"/>
                <w:sz w:val="28"/>
                <w:lang w:val="nl-NL"/>
              </w:rPr>
            </w:pPr>
            <w:r>
              <w:rPr>
                <w:b/>
                <w:bCs/>
                <w:color w:val="000000"/>
                <w:sz w:val="28"/>
                <w:lang w:val="nl-NL"/>
              </w:rPr>
            </w:r>
          </w:p>
          <w:p>
            <w:pPr>
              <w:pStyle w:val="Normal"/>
              <w:spacing w:lineRule="auto" w:line="252" w:before="120" w:after="0"/>
              <w:jc w:val="center"/>
              <w:rPr>
                <w:b/>
                <w:bCs/>
                <w:color w:val="000000"/>
                <w:sz w:val="28"/>
                <w:lang w:val="nl-NL"/>
              </w:rPr>
            </w:pPr>
            <w:r>
              <w:rPr>
                <w:b/>
                <w:bCs/>
                <w:color w:val="000000"/>
                <w:sz w:val="28"/>
                <w:lang w:val="nl-NL"/>
              </w:rPr>
            </w:r>
          </w:p>
          <w:p>
            <w:pPr>
              <w:pStyle w:val="Normal"/>
              <w:spacing w:lineRule="auto" w:line="252" w:before="120" w:after="0"/>
              <w:jc w:val="center"/>
              <w:rPr>
                <w:b/>
                <w:bCs/>
                <w:color w:val="000000"/>
                <w:sz w:val="28"/>
                <w:lang w:val="nl-NL"/>
              </w:rPr>
            </w:pPr>
            <w:r>
              <w:rPr>
                <w:b/>
                <w:bCs/>
                <w:color w:val="000000"/>
                <w:sz w:val="28"/>
                <w:lang w:val="nl-NL"/>
              </w:rPr>
            </w:r>
          </w:p>
          <w:p>
            <w:pPr>
              <w:pStyle w:val="Normal"/>
              <w:spacing w:lineRule="auto" w:line="252" w:before="120" w:after="0"/>
              <w:jc w:val="center"/>
              <w:rPr>
                <w:b/>
                <w:bCs/>
                <w:color w:val="000000"/>
                <w:sz w:val="28"/>
                <w:lang w:val="nl-NL"/>
              </w:rPr>
            </w:pPr>
            <w:r>
              <w:rPr>
                <w:b/>
                <w:bCs/>
                <w:color w:val="000000"/>
                <w:sz w:val="28"/>
                <w:lang w:val="nl-NL"/>
              </w:rPr>
            </w:r>
          </w:p>
          <w:p>
            <w:pPr>
              <w:pStyle w:val="Normal"/>
              <w:spacing w:lineRule="auto" w:line="252" w:before="120" w:after="0"/>
              <w:jc w:val="center"/>
              <w:rPr>
                <w:b/>
                <w:bCs/>
                <w:color w:val="000000"/>
                <w:sz w:val="27"/>
                <w:szCs w:val="27"/>
                <w:lang w:val="vi-VN"/>
              </w:rPr>
            </w:pPr>
            <w:r>
              <w:rPr>
                <w:b/>
                <w:bCs/>
                <w:color w:val="000000"/>
                <w:sz w:val="27"/>
                <w:szCs w:val="27"/>
                <w:lang w:val="vi-VN"/>
              </w:rPr>
            </w:r>
          </w:p>
        </w:tc>
      </w:tr>
    </w:tbl>
    <w:p>
      <w:pPr>
        <w:pStyle w:val="Normal"/>
        <w:rPr>
          <w:bCs/>
          <w:sz w:val="22"/>
          <w:lang w:val="nl-NL"/>
        </w:rPr>
      </w:pPr>
      <w:r>
        <w:rPr>
          <w:bCs/>
          <w:sz w:val="22"/>
          <w:lang w:val="nl-NL"/>
        </w:rPr>
      </w:r>
    </w:p>
    <w:sectPr>
      <w:headerReference w:type="default" r:id="rId3"/>
      <w:headerReference w:type="first" r:id="rId4"/>
      <w:type w:val="nextPage"/>
      <w:pgSz w:w="11906" w:h="16838"/>
      <w:pgMar w:left="1701" w:right="1134" w:gutter="0" w:header="454"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swiss"/>
    <w:pitch w:val="variable"/>
  </w:font>
  <w:font w:name="TimesNewRomanPSMT">
    <w:altName w:val="Times New Roman"/>
    <w:charset w:val="00"/>
    <w:family w:val="roman"/>
    <w:pitch w:val="default"/>
  </w:font>
  <w:font w:name="VNI-Times">
    <w:charset w:val="00"/>
    <w:family w:val="auto"/>
    <w:pitch w:val="variable"/>
  </w:font>
  <w:font w:name="Liberation Sans">
    <w:altName w:val="Arial"/>
    <w:charset w:val="00"/>
    <w:family w:val="swiss"/>
    <w:pitch w:val="variable"/>
  </w:font>
  <w:font w:name="Verdana">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distT="0" distB="0" distL="0" distR="0" simplePos="0" relativeHeight="3" behindDoc="0" locked="0" layoutInCell="0" allowOverlap="1">
              <wp:simplePos x="0" y="0"/>
              <wp:positionH relativeFrom="margin">
                <wp:align>center</wp:align>
              </wp:positionH>
              <wp:positionV relativeFrom="paragraph">
                <wp:posOffset>635</wp:posOffset>
              </wp:positionV>
              <wp:extent cx="83185" cy="189865"/>
              <wp:effectExtent l="0" t="0" r="0" b="0"/>
              <wp:wrapSquare wrapText="bothSides"/>
              <wp:docPr id="4" name="Frame1"/>
              <a:graphic xmlns:a="http://schemas.openxmlformats.org/drawingml/2006/main">
                <a:graphicData uri="http://schemas.microsoft.com/office/word/2010/wordprocessingShape">
                  <wps:wsp>
                    <wps:cNvSpPr txBox="1"/>
                    <wps:spPr>
                      <a:xfrm>
                        <a:off x="0" y="0"/>
                        <a:ext cx="83185" cy="189865"/>
                      </a:xfrm>
                      <a:prstGeom prst="rect"/>
                      <a:solidFill>
                        <a:srgbClr val="FFFFFF">
                          <a:alpha val="0"/>
                        </a:srgbClr>
                      </a:solidFill>
                    </wps:spPr>
                    <wps:txbx>
                      <w:txbxContent>
                        <w:p>
                          <w:pPr>
                            <w:pStyle w:val="Header"/>
                            <w:rPr>
                              <w:rStyle w:val="PageNumber"/>
                              <w:sz w:val="26"/>
                            </w:rPr>
                          </w:pPr>
                          <w:r>
                            <w:rPr>
                              <w:rStyle w:val="PageNumber"/>
                              <w:sz w:val="26"/>
                            </w:rPr>
                            <w:fldChar w:fldCharType="begin"/>
                          </w:r>
                          <w:r>
                            <w:rPr>
                              <w:rStyle w:val="PageNumber"/>
                              <w:sz w:val="26"/>
                            </w:rPr>
                            <w:instrText xml:space="preserve"> PAGE </w:instrText>
                          </w:r>
                          <w:r>
                            <w:rPr>
                              <w:rStyle w:val="PageNumber"/>
                              <w:sz w:val="26"/>
                            </w:rPr>
                            <w:fldChar w:fldCharType="separate"/>
                          </w:r>
                          <w:r>
                            <w:rPr>
                              <w:rStyle w:val="PageNumber"/>
                              <w:sz w:val="26"/>
                            </w:rPr>
                            <w:t>3</w:t>
                          </w:r>
                          <w:r>
                            <w:rPr>
                              <w:rStyle w:val="PageNumber"/>
                              <w:sz w:val="26"/>
                            </w:rPr>
                            <w:fldChar w:fldCharType="end"/>
                          </w:r>
                        </w:p>
                      </w:txbxContent>
                    </wps:txbx>
                    <wps:bodyPr anchor="t" lIns="0" tIns="0" rIns="0" bIns="0">
                      <a:noAutofit/>
                    </wps:bodyPr>
                  </wps:wsp>
                </a:graphicData>
              </a:graphic>
            </wp:anchor>
          </w:drawing>
        </mc:Choice>
        <mc:Fallback>
          <w:pict>
            <v:rect fillcolor="#FFFFFF" style="position:absolute;rotation:-0;width:6.55pt;height:14.95pt;mso-wrap-distance-left:0pt;mso-wrap-distance-right:0pt;mso-wrap-distance-top:0pt;mso-wrap-distance-bottom:0pt;margin-top:0.05pt;mso-position-vertical-relative:text;margin-left:223.5pt;mso-position-horizontal:center;mso-position-horizontal-relative:margin">
              <v:fill opacity="0f"/>
              <v:textbox inset="0in,0in,0in,0in">
                <w:txbxContent>
                  <w:p>
                    <w:pPr>
                      <w:pStyle w:val="Header"/>
                      <w:rPr>
                        <w:rStyle w:val="PageNumber"/>
                        <w:sz w:val="26"/>
                      </w:rPr>
                    </w:pPr>
                    <w:r>
                      <w:rPr>
                        <w:rStyle w:val="PageNumber"/>
                        <w:sz w:val="26"/>
                      </w:rPr>
                      <w:fldChar w:fldCharType="begin"/>
                    </w:r>
                    <w:r>
                      <w:rPr>
                        <w:rStyle w:val="PageNumber"/>
                        <w:sz w:val="26"/>
                      </w:rPr>
                      <w:instrText xml:space="preserve"> PAGE </w:instrText>
                    </w:r>
                    <w:r>
                      <w:rPr>
                        <w:rStyle w:val="PageNumber"/>
                        <w:sz w:val="26"/>
                      </w:rPr>
                      <w:fldChar w:fldCharType="separate"/>
                    </w:r>
                    <w:r>
                      <w:rPr>
                        <w:rStyle w:val="PageNumber"/>
                        <w:sz w:val="26"/>
                      </w:rPr>
                      <w:t>3</w:t>
                    </w:r>
                    <w:r>
                      <w:rPr>
                        <w:rStyle w:val="PageNumber"/>
                        <w:sz w:val="26"/>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WW8Num1z0">
    <w:name w:val="WW8Num1z0"/>
    <w:qFormat/>
    <w:rPr/>
  </w:style>
  <w:style w:type="character" w:styleId="DefaultParagraphFont">
    <w:name w:val="Default Paragraph Font"/>
    <w:qFormat/>
    <w:rPr/>
  </w:style>
  <w:style w:type="character" w:styleId="Hyperlink">
    <w:name w:val="Hyperlink"/>
    <w:rPr>
      <w:color w:val="0000FF"/>
      <w:u w:val="single"/>
    </w:rPr>
  </w:style>
  <w:style w:type="character" w:styleId="apple-converted-space">
    <w:name w:val="apple-converted-space"/>
    <w:basedOn w:val="DefaultParagraphFont"/>
    <w:qFormat/>
    <w:rPr/>
  </w:style>
  <w:style w:type="character" w:styleId="PageNumber">
    <w:name w:val="page number"/>
    <w:basedOn w:val="DefaultParagraphFont"/>
    <w:rPr/>
  </w:style>
  <w:style w:type="character" w:styleId="BalloonTextChar">
    <w:name w:val="Balloon Text Char"/>
    <w:qFormat/>
    <w:rPr>
      <w:rFonts w:ascii="Tahoma" w:hAnsi="Tahoma" w:cs="Tahoma"/>
      <w:sz w:val="16"/>
      <w:szCs w:val="16"/>
    </w:rPr>
  </w:style>
  <w:style w:type="character" w:styleId="fontstyle21">
    <w:name w:val="fontstyle21"/>
    <w:qFormat/>
    <w:rPr>
      <w:rFonts w:ascii="TimesNewRomanPSMT;Times New Roman" w:hAnsi="TimesNewRomanPSMT;Times New Roman" w:cs="TimesNewRomanPSMT;Times New Roman"/>
      <w:b w:val="false"/>
      <w:bCs w:val="false"/>
      <w:i w:val="false"/>
      <w:iCs w:val="false"/>
      <w:color w:val="000000"/>
      <w:sz w:val="26"/>
      <w:szCs w:val="26"/>
    </w:rPr>
  </w:style>
  <w:style w:type="character" w:styleId="FooterChar">
    <w:name w:val="Footer Char"/>
    <w:qFormat/>
    <w:rPr>
      <w:sz w:val="24"/>
      <w:szCs w:val="24"/>
    </w:rPr>
  </w:style>
  <w:style w:type="character" w:styleId="BodyTextIndent2Char">
    <w:name w:val="Body Text Indent 2 Char"/>
    <w:qFormat/>
    <w:rPr>
      <w:rFonts w:ascii="VNI-Times" w:hAnsi="VNI-Times" w:cs="VNI-Times"/>
      <w:color w:val="0000FF"/>
      <w:sz w:val="28"/>
      <w:szCs w:val="2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BalloonText">
    <w:name w:val="Balloon Text"/>
    <w:basedOn w:val="Normal"/>
    <w:qFormat/>
    <w:pPr/>
    <w:rPr>
      <w:rFonts w:ascii="Tahoma" w:hAnsi="Tahoma" w:cs="Tahoma"/>
      <w:sz w:val="16"/>
      <w:szCs w:val="16"/>
    </w:rPr>
  </w:style>
  <w:style w:type="paragraph" w:styleId="Char">
    <w:name w:val="Char"/>
    <w:basedOn w:val="Normal"/>
    <w:qFormat/>
    <w:pPr>
      <w:spacing w:lineRule="exact" w:line="240" w:before="0" w:after="160"/>
    </w:pPr>
    <w:rPr>
      <w:rFonts w:ascii="Verdana" w:hAnsi="Verdana" w:cs="Verdana"/>
      <w:sz w:val="20"/>
      <w:szCs w:val="20"/>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Footer">
    <w:name w:val="footer"/>
    <w:basedOn w:val="Normal"/>
    <w:pPr>
      <w:tabs>
        <w:tab w:val="clear" w:pos="720"/>
        <w:tab w:val="center" w:pos="4680" w:leader="none"/>
        <w:tab w:val="right" w:pos="9360" w:leader="none"/>
      </w:tabs>
    </w:pPr>
    <w:rPr/>
  </w:style>
  <w:style w:type="paragraph" w:styleId="CharCharCharCharCharCharCharCharChar">
    <w:name w:val=" Char Char Char Char Char Char Char Char Char"/>
    <w:basedOn w:val="Normal"/>
    <w:qFormat/>
    <w:pPr>
      <w:spacing w:lineRule="exact" w:line="240" w:before="0" w:after="160"/>
    </w:pPr>
    <w:rPr>
      <w:rFonts w:ascii="Arial" w:hAnsi="Arial" w:cs="Arial"/>
      <w:sz w:val="22"/>
      <w:szCs w:val="22"/>
    </w:rPr>
  </w:style>
  <w:style w:type="paragraph" w:styleId="BodyTextIndent2">
    <w:name w:val="Body Text Indent 2"/>
    <w:basedOn w:val="Normal"/>
    <w:qFormat/>
    <w:pPr>
      <w:widowControl w:val="false"/>
      <w:ind w:firstLine="851" w:left="0" w:right="0"/>
      <w:jc w:val="both"/>
    </w:pPr>
    <w:rPr>
      <w:rFonts w:ascii="VNI-Times" w:hAnsi="VNI-Times" w:cs="VNI-Times"/>
      <w:color w:val="0000FF"/>
      <w:sz w:val="28"/>
      <w:szCs w:val="2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thuvienphapluat.vn/phap-luat/tim-van-ban.aspx?keyword=44/2014/N&#272;-CP&amp;area=2&amp;type=0&amp;match=False&amp;vc=True&amp;lan=1"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LibreOffice/26.2.4.2$Windows_X86_64 LibreOffice_project/0229ac93fcf0d7cbc6376066c6f35021cef002dc</Application>
  <AppVersion>15.0000</AppVersion>
  <Pages>3</Pages>
  <Words>1367</Words>
  <Characters>4784</Characters>
  <CharactersWithSpaces>6163</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2026-05-28T07:59:00Z</dcterms:created>
  <dc:creator>FPT</dc:creator>
  <dc:description/>
  <cp:keywords/>
  <dc:language>vi-VN</dc:language>
  <cp:lastModifiedBy>Admin</cp:lastModifiedBy>
  <cp:lastPrinted>2024-12-09T10:41:00Z</cp:lastPrinted>
  <dcterms:modified xsi:type="dcterms:W3CDTF">2026-05-28T13:39:00Z</dcterms:modified>
  <cp:revision>3</cp:revision>
  <dc:subject/>
  <dc:title>HỘI ĐỒNG NHÂN DÂN</dc:title>
</cp:coreProperties>
</file>