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
        <w:tblW w:w="9237"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3179"/>
        <w:gridCol w:w="6058"/>
      </w:tblGrid>
      <w:tr>
        <w:trPr/>
        <w:tc>
          <w:tcPr>
            <w:tcW w:w="3179" w:type="dxa"/>
            <w:tcBorders/>
          </w:tcPr>
          <w:p>
            <w:pPr>
              <w:pStyle w:val="Normal"/>
              <w:jc w:val="center"/>
              <w:rPr/>
            </w:pPr>
            <w:r>
              <w:rPr>
                <w:b/>
                <w:bCs/>
              </w:rPr>
              <w:t>BỘ CÔNG AN</w:t>
            </w:r>
          </w:p>
          <w:p>
            <w:pPr>
              <w:pStyle w:val="Normal"/>
              <w:jc w:val="center"/>
              <w:rPr/>
            </w:pPr>
            <w:r>
              <w:rPr/>
              <mc:AlternateContent>
                <mc:Choice Requires="wps">
                  <w:drawing>
                    <wp:anchor distT="0" distB="0" distL="0" distR="0" simplePos="0" relativeHeight="2" behindDoc="0" locked="0" layoutInCell="1" allowOverlap="1" wp14:anchorId="645ACD12">
                      <wp:simplePos x="0" y="0"/>
                      <wp:positionH relativeFrom="column">
                        <wp:posOffset>2556510</wp:posOffset>
                      </wp:positionH>
                      <wp:positionV relativeFrom="paragraph">
                        <wp:posOffset>11430</wp:posOffset>
                      </wp:positionV>
                      <wp:extent cx="635" cy="12700"/>
                      <wp:effectExtent l="5715" t="5080" r="5080" b="5715"/>
                      <wp:wrapNone/>
                      <wp:docPr id="1" name="Straight Arrow Connector 2"/>
                      <a:graphic xmlns:a="http://schemas.openxmlformats.org/drawingml/2006/main">
                        <a:graphicData uri="http://schemas.microsoft.com/office/word/2010/wordprocessingShape">
                          <wps:wsp>
                            <wps:cNvSpPr/>
                            <wps:spPr>
                              <a:xfrm>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201.3pt;margin-top:0.9pt;width:0pt;height:0.95pt;mso-wrap-style:none;v-text-anchor:middle" wp14:anchorId="645ACD12" type="_x0000_t32" path="m0,0l-2147483648,-2147483647e">
                      <v:fill o:detectmouseclick="t" on="false"/>
                      <v:stroke color="black" weight="9360" joinstyle="round" endcap="flat"/>
                      <w10:wrap type="none"/>
                    </v:shape>
                  </w:pict>
                </mc:Fallback>
              </mc:AlternateContent>
              <mc:AlternateContent>
                <mc:Choice Requires="wps">
                  <w:drawing>
                    <wp:anchor distT="0" distB="19050" distL="0" distR="28575" simplePos="0" relativeHeight="3" behindDoc="0" locked="0" layoutInCell="1" allowOverlap="1" wp14:anchorId="339C744E">
                      <wp:simplePos x="0" y="0"/>
                      <wp:positionH relativeFrom="column">
                        <wp:posOffset>532765</wp:posOffset>
                      </wp:positionH>
                      <wp:positionV relativeFrom="paragraph">
                        <wp:posOffset>37465</wp:posOffset>
                      </wp:positionV>
                      <wp:extent cx="752475" cy="0"/>
                      <wp:effectExtent l="5080" t="5080" r="5080" b="5080"/>
                      <wp:wrapNone/>
                      <wp:docPr id="2" name="Straight Connector 7"/>
                      <a:graphic xmlns:a="http://schemas.openxmlformats.org/drawingml/2006/main">
                        <a:graphicData uri="http://schemas.microsoft.com/office/word/2010/wordprocessingShape">
                          <wps:wsp>
                            <wps:cNvSpPr/>
                            <wps:spPr>
                              <a:xfrm>
                                <a:off x="0" y="0"/>
                                <a:ext cx="752400" cy="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41.95pt,2.95pt" to="101.15pt,2.95pt" stroked="t" o:allowincell="t" style="position:absolute" wp14:anchorId="339C744E">
                      <v:stroke color="black" weight="9360" joinstyle="round" endcap="flat"/>
                      <v:fill o:detectmouseclick="t" on="false"/>
                      <w10:wrap type="none"/>
                    </v:line>
                  </w:pict>
                </mc:Fallback>
              </mc:AlternateContent>
            </w:r>
          </w:p>
          <w:p>
            <w:pPr>
              <w:pStyle w:val="Normal"/>
              <w:jc w:val="center"/>
              <w:rPr/>
            </w:pPr>
            <w:r>
              <w:rPr/>
            </w:r>
          </w:p>
          <w:p>
            <w:pPr>
              <w:pStyle w:val="Normal"/>
              <w:jc w:val="center"/>
              <w:rPr/>
            </w:pPr>
            <w:r>
              <w:rPr/>
              <w:t>Số:         /TTr-BCA</w:t>
            </w:r>
          </w:p>
        </w:tc>
        <w:tc>
          <w:tcPr>
            <w:tcW w:w="6058" w:type="dxa"/>
            <w:tcBorders/>
          </w:tcPr>
          <w:p>
            <w:pPr>
              <w:pStyle w:val="Normal"/>
              <w:jc w:val="center"/>
              <w:rPr/>
            </w:pPr>
            <w:r>
              <w:rPr>
                <w:b/>
                <w:bCs/>
              </w:rPr>
              <w:t>CỘNG HÒA XÃ HỘI CHỦ NGHĨA VIỆT NAM</w:t>
            </w:r>
          </w:p>
          <w:p>
            <w:pPr>
              <w:pStyle w:val="Normal"/>
              <w:jc w:val="center"/>
              <w:rPr/>
            </w:pPr>
            <w:r>
              <w:rPr>
                <w:b/>
                <w:bCs/>
              </w:rPr>
              <w:t>Độc lập - Tự do - Hạnh phúc</w:t>
            </w:r>
          </w:p>
          <w:p>
            <w:pPr>
              <w:pStyle w:val="Normal"/>
              <w:keepNext w:val="true"/>
              <w:rPr/>
            </w:pPr>
            <w:r>
              <w:rPr/>
              <mc:AlternateContent>
                <mc:Choice Requires="wps">
                  <w:drawing>
                    <wp:anchor distT="0" distB="0" distL="0" distR="0" simplePos="0" relativeHeight="4" behindDoc="0" locked="0" layoutInCell="1" allowOverlap="1" wp14:anchorId="252068FE">
                      <wp:simplePos x="0" y="0"/>
                      <wp:positionH relativeFrom="column">
                        <wp:posOffset>1795145</wp:posOffset>
                      </wp:positionH>
                      <wp:positionV relativeFrom="paragraph">
                        <wp:posOffset>17780</wp:posOffset>
                      </wp:positionV>
                      <wp:extent cx="635" cy="12700"/>
                      <wp:effectExtent l="5715" t="5080" r="5080" b="5715"/>
                      <wp:wrapNone/>
                      <wp:docPr id="3" name="Straight Arrow Connector 1"/>
                      <a:graphic xmlns:a="http://schemas.openxmlformats.org/drawingml/2006/main">
                        <a:graphicData uri="http://schemas.microsoft.com/office/word/2010/wordprocessingShape">
                          <wps:wsp>
                            <wps:cNvSpPr/>
                            <wps:spPr>
                              <a:xfrm>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141.35pt;margin-top:1.4pt;width:0pt;height:0.95pt;mso-wrap-style:none;v-text-anchor:middle" wp14:anchorId="252068FE" type="_x0000_t32" path="m0,0l-2147483648,-2147483647e">
                      <v:fill o:detectmouseclick="t" on="false"/>
                      <v:stroke color="black" weight="9360" joinstyle="round" endcap="flat"/>
                      <w10:wrap type="none"/>
                    </v:shape>
                  </w:pict>
                </mc:Fallback>
              </mc:AlternateContent>
              <mc:AlternateContent>
                <mc:Choice Requires="wps">
                  <w:drawing>
                    <wp:anchor distT="0" distB="19050" distL="0" distR="19050" simplePos="0" relativeHeight="5" behindDoc="0" locked="0" layoutInCell="1" allowOverlap="1" wp14:anchorId="5BCE09F6">
                      <wp:simplePos x="0" y="0"/>
                      <wp:positionH relativeFrom="column">
                        <wp:posOffset>866775</wp:posOffset>
                      </wp:positionH>
                      <wp:positionV relativeFrom="paragraph">
                        <wp:posOffset>60960</wp:posOffset>
                      </wp:positionV>
                      <wp:extent cx="1981200" cy="635"/>
                      <wp:effectExtent l="5080" t="5080" r="5080" b="5080"/>
                      <wp:wrapNone/>
                      <wp:docPr id="4" name="Straight Connector 8"/>
                      <a:graphic xmlns:a="http://schemas.openxmlformats.org/drawingml/2006/main">
                        <a:graphicData uri="http://schemas.microsoft.com/office/word/2010/wordprocessingShape">
                          <wps:wsp>
                            <wps:cNvSpPr/>
                            <wps:spPr>
                              <a:xfrm flipV="1">
                                <a:off x="0" y="0"/>
                                <a:ext cx="198108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68.25pt,4.8pt" to="224.2pt,4.8pt" stroked="t" o:allowincell="t" style="position:absolute;flip:y" wp14:anchorId="5BCE09F6">
                      <v:stroke color="black" weight="9360" joinstyle="round" endcap="flat"/>
                      <v:fill o:detectmouseclick="t" on="false"/>
                      <w10:wrap type="none"/>
                    </v:line>
                  </w:pict>
                </mc:Fallback>
              </mc:AlternateContent>
            </w:r>
          </w:p>
          <w:p>
            <w:pPr>
              <w:pStyle w:val="Normal"/>
              <w:keepNext w:val="true"/>
              <w:jc w:val="center"/>
              <w:rPr>
                <w:i/>
                <w:iCs/>
              </w:rPr>
            </w:pPr>
            <w:r>
              <w:rPr>
                <w:i/>
                <w:iCs/>
              </w:rPr>
              <w:t xml:space="preserve">           </w:t>
            </w:r>
            <w:r>
              <w:rPr>
                <w:i/>
                <w:iCs/>
              </w:rPr>
              <w:t>Hà Nội, ngày       tháng  6  năm 2026</w:t>
            </w:r>
          </w:p>
          <w:p>
            <w:pPr>
              <w:pStyle w:val="Normal"/>
              <w:keepNext w:val="true"/>
              <w:jc w:val="center"/>
              <w:rPr/>
            </w:pPr>
            <w:r>
              <w:rPr/>
            </w:r>
          </w:p>
        </w:tc>
      </w:tr>
    </w:tbl>
    <w:tbl>
      <w:tblPr>
        <w:tblStyle w:val="TableGrid"/>
        <w:tblW w:w="2055"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2055"/>
      </w:tblGrid>
      <w:tr>
        <w:trPr>
          <w:trHeight w:val="262" w:hRule="atLeast"/>
        </w:trPr>
        <w:tc>
          <w:tcPr>
            <w:tcW w:w="2055" w:type="dxa"/>
            <w:tcBorders/>
          </w:tcPr>
          <w:p>
            <w:pPr>
              <w:pStyle w:val="Normal"/>
              <w:widowControl/>
              <w:suppressAutoHyphens w:val="true"/>
              <w:spacing w:before="120" w:after="0"/>
              <w:ind w:hanging="3" w:left="0"/>
              <w:jc w:val="center"/>
              <w:textAlignment w:val="top"/>
              <w:rPr>
                <w:b/>
                <w:bCs/>
              </w:rPr>
            </w:pPr>
            <w:r>
              <w:rPr>
                <w:rFonts w:eastAsia="Times New Roman" w:cs="Times New Roman"/>
                <w:b/>
                <w:bCs/>
                <w:kern w:val="0"/>
                <w:sz w:val="28"/>
                <w:szCs w:val="28"/>
                <w:vertAlign w:val="subscript"/>
                <w:lang w:val="en-US" w:eastAsia="en-US" w:bidi="ar-SA"/>
              </w:rPr>
              <w:t>DỰ THẢO</w:t>
            </w:r>
          </w:p>
        </w:tc>
      </w:tr>
    </w:tbl>
    <w:p>
      <w:pPr>
        <w:pStyle w:val="Normal"/>
        <w:spacing w:before="120" w:after="0"/>
        <w:jc w:val="center"/>
        <w:rPr>
          <w:b/>
          <w:bCs/>
          <w:sz w:val="14"/>
          <w:szCs w:val="14"/>
        </w:rPr>
      </w:pPr>
      <w:r>
        <w:rPr>
          <w:b/>
          <w:bCs/>
          <w:sz w:val="14"/>
          <w:szCs w:val="14"/>
        </w:rPr>
      </w:r>
    </w:p>
    <w:p>
      <w:pPr>
        <w:pStyle w:val="Normal"/>
        <w:spacing w:before="120" w:after="0"/>
        <w:jc w:val="center"/>
        <w:rPr/>
      </w:pPr>
      <w:r>
        <w:rPr>
          <w:b/>
          <w:bCs/>
        </w:rPr>
        <w:t>TỜ TRÌNH</w:t>
      </w:r>
    </w:p>
    <w:p>
      <w:pPr>
        <w:pStyle w:val="Normal"/>
        <w:jc w:val="center"/>
        <w:rPr/>
      </w:pPr>
      <w:r>
        <w:rPr>
          <w:b/>
          <w:bCs/>
        </w:rPr>
        <w:t>Chính sách của dự án Luật Tổ chức cơ quan điều tra hình sự (sửa đổi)</w:t>
      </w:r>
    </w:p>
    <w:p>
      <w:pPr>
        <w:pStyle w:val="Normal"/>
        <w:tabs>
          <w:tab w:val="clear" w:pos="720"/>
          <w:tab w:val="left" w:pos="497" w:leader="none"/>
          <w:tab w:val="center" w:pos="4536" w:leader="none"/>
        </w:tabs>
        <w:rPr/>
      </w:pPr>
      <w:r>
        <w:rPr/>
        <mc:AlternateContent>
          <mc:Choice Requires="wps">
            <w:drawing>
              <wp:anchor distT="0" distB="0" distL="0" distR="0" simplePos="0" relativeHeight="6" behindDoc="0" locked="0" layoutInCell="1" allowOverlap="1" wp14:anchorId="04A383EC">
                <wp:simplePos x="0" y="0"/>
                <wp:positionH relativeFrom="column">
                  <wp:posOffset>2153285</wp:posOffset>
                </wp:positionH>
                <wp:positionV relativeFrom="paragraph">
                  <wp:posOffset>32385</wp:posOffset>
                </wp:positionV>
                <wp:extent cx="635" cy="12700"/>
                <wp:effectExtent l="5715" t="5080" r="5080" b="5715"/>
                <wp:wrapNone/>
                <wp:docPr id="5" name="Straight Arrow Connector 3"/>
                <a:graphic xmlns:a="http://schemas.openxmlformats.org/drawingml/2006/main">
                  <a:graphicData uri="http://schemas.microsoft.com/office/word/2010/wordprocessingShape">
                    <wps:wsp>
                      <wps:cNvSpPr/>
                      <wps:spPr>
                        <a:xfrm>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f" style="position:absolute;margin-left:169.55pt;margin-top:2.55pt;width:0pt;height:0.95pt;mso-wrap-style:none;v-text-anchor:middle" wp14:anchorId="04A383EC" type="_x0000_t32" path="m0,0l-2147483648,-2147483647e">
                <v:fill o:detectmouseclick="t" on="false"/>
                <v:stroke color="black" weight="9360" joinstyle="round" endcap="flat"/>
                <w10:wrap type="none"/>
              </v:shape>
            </w:pict>
          </mc:Fallback>
        </mc:AlternateContent>
      </w:r>
      <w:r>
        <w:rPr/>
        <w:tab/>
        <w:tab/>
      </w:r>
    </w:p>
    <w:p>
      <w:pPr>
        <w:pStyle w:val="Normal"/>
        <w:spacing w:before="120" w:after="0"/>
        <w:jc w:val="center"/>
        <w:rPr/>
      </w:pPr>
      <w:r>
        <w:rPr/>
        <w:t>Kính gửi: Chính phủ</w:t>
      </w:r>
    </w:p>
    <w:p>
      <w:pPr>
        <w:pStyle w:val="Normal"/>
        <w:spacing w:before="120" w:after="0"/>
        <w:jc w:val="center"/>
        <w:rPr>
          <w:sz w:val="10"/>
          <w:szCs w:val="10"/>
        </w:rPr>
      </w:pPr>
      <w:r>
        <w:rPr>
          <w:sz w:val="10"/>
          <w:szCs w:val="10"/>
        </w:rPr>
      </w:r>
    </w:p>
    <w:p>
      <w:pPr>
        <w:pStyle w:val="Normal"/>
        <w:spacing w:before="120" w:after="0"/>
        <w:jc w:val="center"/>
        <w:rPr>
          <w:sz w:val="10"/>
          <w:szCs w:val="10"/>
        </w:rPr>
      </w:pPr>
      <w:r>
        <w:rPr>
          <w:sz w:val="10"/>
          <w:szCs w:val="10"/>
        </w:rPr>
      </w:r>
    </w:p>
    <w:p>
      <w:pPr>
        <w:pStyle w:val="Normal"/>
        <w:widowControl w:val="false"/>
        <w:spacing w:lineRule="auto" w:line="264" w:before="120" w:after="0"/>
        <w:ind w:firstLine="709"/>
        <w:jc w:val="both"/>
        <w:rPr/>
      </w:pPr>
      <w:r>
        <w:rPr/>
        <w:t>Thực hiện quy định của Luật Ban hành văn bản quy phạm pháp luật, Bộ Công an kính trình Chính phủ chính sách của dự án Luật Tổ chức cơ quan điều tra hình sự (sửa đổi), như sau:</w:t>
      </w:r>
    </w:p>
    <w:p>
      <w:pPr>
        <w:pStyle w:val="Normal"/>
        <w:widowControl w:val="false"/>
        <w:spacing w:lineRule="auto" w:line="264" w:before="120" w:after="0"/>
        <w:ind w:firstLine="709"/>
        <w:jc w:val="both"/>
        <w:rPr/>
      </w:pPr>
      <w:r>
        <w:rPr>
          <w:b/>
          <w:bCs/>
        </w:rPr>
        <w:t>I. SỰ CẦN THIẾT XÂY DỰNG CHÍNH SÁCH</w:t>
      </w:r>
    </w:p>
    <w:p>
      <w:pPr>
        <w:pStyle w:val="Normal"/>
        <w:widowControl w:val="false"/>
        <w:spacing w:lineRule="auto" w:line="264" w:before="120" w:after="0"/>
        <w:ind w:firstLine="709"/>
        <w:jc w:val="both"/>
        <w:rPr/>
      </w:pPr>
      <w:r>
        <w:rPr>
          <w:b/>
          <w:bCs/>
        </w:rPr>
        <w:t>1. Cơ sở chính trị, pháp lý</w:t>
      </w:r>
    </w:p>
    <w:p>
      <w:pPr>
        <w:pStyle w:val="Normal"/>
        <w:widowControl w:val="false"/>
        <w:spacing w:lineRule="auto" w:line="264" w:before="120" w:after="0"/>
        <w:ind w:firstLine="709"/>
        <w:jc w:val="both"/>
        <w:rPr>
          <w:b/>
          <w:i/>
          <w:spacing w:val="-2"/>
          <w:lang w:val="pt-BR"/>
        </w:rPr>
      </w:pPr>
      <w:r>
        <w:rPr>
          <w:b/>
          <w:i/>
          <w:spacing w:val="-2"/>
          <w:lang w:val="pt-BR"/>
        </w:rPr>
        <w:t>1</w:t>
      </w:r>
      <w:r>
        <w:rPr>
          <w:b/>
          <w:i/>
          <w:spacing w:val="-2"/>
          <w:lang w:val="vi-VN"/>
        </w:rPr>
        <w:t>.1.</w:t>
      </w:r>
      <w:r>
        <w:rPr>
          <w:b/>
          <w:i/>
          <w:spacing w:val="-2"/>
          <w:lang w:val="pt-BR"/>
        </w:rPr>
        <w:t xml:space="preserve"> Cơ sở chính trị</w:t>
      </w:r>
      <w:bookmarkStart w:id="0" w:name="_GoBack"/>
      <w:bookmarkEnd w:id="0"/>
    </w:p>
    <w:p>
      <w:pPr>
        <w:pStyle w:val="Normal"/>
        <w:widowControl w:val="false"/>
        <w:numPr>
          <w:ilvl w:val="0"/>
          <w:numId w:val="0"/>
        </w:numPr>
        <w:spacing w:lineRule="auto" w:line="264" w:before="120" w:after="0"/>
        <w:ind w:firstLine="697"/>
        <w:jc w:val="both"/>
        <w:outlineLvl w:val="0"/>
        <w:rPr>
          <w:spacing w:val="2"/>
          <w:lang w:val="nl-NL" w:eastAsia="en-GB"/>
        </w:rPr>
      </w:pPr>
      <w:r>
        <w:rPr>
          <w:spacing w:val="2"/>
          <w:lang w:val="nl-NL" w:eastAsia="en-GB"/>
        </w:rPr>
        <w:t>Ngày 26/11/2015, Quốc hội đã thông qua Luật Tổ chức cơ quan điều tra hình sự để thể chế hóa chủ trương, quan điểm chỉ đạo của Đảng về cải cách tư pháp, đặc biệt là quan điểm về đổi mới tổ chức và hoạt động điều tra hình sự trong Nghị quyết số 49-NQ/TW ngày 02/6/2005 của Bộ Chính trị về Chiến lược cải cách tư pháp và Kết luận số 92-KL/TW ngày 13/4/2014 của Bộ Chính trị về tiếp tục thực hiện Nghị quyết số 49-NQ/TW. Trong đó, đã quy định cụ thể về tổ chức bộ máy, nhiệm vụ, quyền hạn của Cơ quan điều tra, cơ quan được giao nhiệm vụ tiến hành một số hoạt động điều tra; nhiệm vụ, quyền hạn của Điều tra viên và các chức danh khác trong hoạt động điều tra hình sự; quan hệ phân công, phối hợp và kiểm soát trong hoạt động điều tra hình sự; bảo đảm sự kết hợp giữa hoạt động tố tụng và hoạt động nghiệp vụ trinh sát; bảo đảm điều kiện cho hoạt động điều tra hình sự và trách nhiệm của các cơ quan, tổ chức, cá nhân có liên quan; xác định rõ nội dung, cơ quan quản lý nhà nước về công tác điều tra hình sự. Ngày 12/11/2021, Quốc hội thông qua Luật sửa đổi, bổ sung một số điều của Bộ luật Tố tụng hình sự; trong đó có sửa đổi, bổ sung thêm trách nhiệm, thẩm quyền cho Công an xã trong việc kiểm tra, xác minh sơ bộ tố giác, tin báo về tội phạm khi tiếp nhận tố giác, tin báo về tội phạm.</w:t>
      </w:r>
    </w:p>
    <w:p>
      <w:pPr>
        <w:pStyle w:val="Normal"/>
        <w:widowControl w:val="false"/>
        <w:numPr>
          <w:ilvl w:val="0"/>
          <w:numId w:val="0"/>
        </w:numPr>
        <w:spacing w:lineRule="auto" w:line="264" w:before="120" w:after="0"/>
        <w:ind w:firstLine="700"/>
        <w:jc w:val="both"/>
        <w:outlineLvl w:val="0"/>
        <w:rPr>
          <w:spacing w:val="4"/>
          <w:lang w:val="nl-NL" w:eastAsia="en-GB"/>
        </w:rPr>
      </w:pPr>
      <w:r>
        <w:rPr>
          <w:spacing w:val="4"/>
          <w:lang w:val="nl-NL" w:eastAsia="en-GB"/>
        </w:rPr>
        <w:t>Kể từ khi Luật Tổ chức cơ quan điều tra hình sự năm 2015 (sửa đổi, bổ sung năm 2021) có hiệu lực thi hành đến nay, công tác điều tra hình sự đã đạt được nhiều kết quả quan trọng góp phần nâng cao hiệu quả công tác phòng, chống tội phạm. Bên cạnh đó, quá trình tổ chức thực hiện trong thời gian vừa qua đã bộc lộ một số khó khăn, vướng mắc nhất định và phát sinh những vấn đề mới đặt ra yêu cầu cần phải có tổng kết toàn diện để đánh giá quá trình triển khai thực hiện các quy định về tổ chức cơ quan điều tra hình sự.</w:t>
      </w:r>
    </w:p>
    <w:p>
      <w:pPr>
        <w:pStyle w:val="Normal"/>
        <w:widowControl w:val="false"/>
        <w:spacing w:lineRule="auto" w:line="264" w:before="120" w:after="0"/>
        <w:ind w:firstLine="709"/>
        <w:jc w:val="both"/>
        <w:rPr/>
      </w:pPr>
      <w:r>
        <w:rPr>
          <w:spacing w:val="-2"/>
        </w:rPr>
        <w:t xml:space="preserve">Tuy nhiên, sau hơn 08 năm thi hành, </w:t>
      </w:r>
      <w:r>
        <w:rPr/>
        <w:t xml:space="preserve">Luật Tổ chức cơ quan điều tra hình sự </w:t>
      </w:r>
      <w:r>
        <w:rPr>
          <w:spacing w:val="-2"/>
        </w:rPr>
        <w:t xml:space="preserve">đã bộc lộ nhiều vướng mắc, bất cập và tồn tại, hạn chế, đòi hỏi phải </w:t>
      </w:r>
      <w:r>
        <w:rPr/>
        <w:t>sửa đổi, bổ sung toàn diện đạo luật này để tiếp tục hoàn thiện cơ sở pháp lý, đáp ứng yêu cầu thực tiễn hoạt động và hoàn thiện cơ cấu tổ chức, chức năng, nhiệm vụ của các cơ quan điều tra hình sự. Việc sửa đổi, bổ sung Luật Tổ chức cơ quan điều tra hình sự được xây dựng dựa trên cơ sở chính trị sau:</w:t>
      </w:r>
    </w:p>
    <w:p>
      <w:pPr>
        <w:pStyle w:val="Normal"/>
        <w:spacing w:lineRule="auto" w:line="264" w:before="120" w:after="0"/>
        <w:ind w:firstLine="720"/>
        <w:jc w:val="both"/>
        <w:rPr>
          <w:color w:val="000000"/>
          <w:spacing w:val="2"/>
          <w:lang w:val="en-US"/>
        </w:rPr>
      </w:pPr>
      <w:r>
        <w:rPr>
          <w:color w:val="000000"/>
          <w:spacing w:val="2"/>
          <w:lang w:val="en-US"/>
        </w:rPr>
        <w:t>- Nghị quyết số 18-NQ/TW ngày 25/10/2017 của Hội nghị Trung ương 6 khoá XII về một số vấn đề tiếp tục đổi mới, sắp xếp tổ chức bộ máy của hệ thống chính trị tinh gọn, hoạt động hiệu lực, hiệu quả, đề ra nhiệm vụ, giải pháp: “</w:t>
      </w:r>
      <w:r>
        <w:rPr>
          <w:i/>
          <w:color w:val="000000"/>
          <w:spacing w:val="2"/>
          <w:lang w:val="en-US"/>
        </w:rPr>
        <w:t>Tiếp tục nghiên cứu, từng bước sắp xếp thu gọn đầu mối cơ quan điều tra đáp ứng yêu cầu công tác điều tra hình sự, phòng, chống tội phạm và phù hợp với tổ chức, hoạt động của viện kiểm sát nhân dân, toà án nhân dân theo tinh thần cải cách tư pháp</w:t>
      </w:r>
      <w:r>
        <w:rPr>
          <w:color w:val="000000"/>
          <w:spacing w:val="2"/>
          <w:lang w:val="en-US"/>
        </w:rPr>
        <w:t xml:space="preserve">”; Kết luận số 121-KL/TW ngày 24/01/2025 của Ban Chấp hành Trung ương về tổng kết Nghị quyết số 18-NQ/TW ngày 25/10/2017 của Hội nghị Trung ương 6 khoá XII một số vấn đề tiếp tục đổi mới, sắp xếp tổ chức bộ máy của hệ thống chính trị tinh gọn, hoạt động hiệu lực, hiệu quả thông qua chủ trương sắp xếp tổ chức bộ máy công an địa phương theo hướng “tỉnh toàn diện; xã vững mạnh, bám cơ sở”, không tổ chức công an cấp huyện; </w:t>
      </w:r>
      <w:r>
        <w:rPr>
          <w:spacing w:val="2"/>
          <w:lang w:val="pt-BR"/>
        </w:rPr>
        <w:t>Kết luận số 126-KL/TW ngày 14/02/2025 của Bộ Chính trị, Ban Bí thư về một số nội dung, nhiệm vụ tiếp tục sắp xếp, tinh gọn tổ chức bộ máy của hệ thống chính trị năm 2025.</w:t>
      </w:r>
    </w:p>
    <w:p>
      <w:pPr>
        <w:pStyle w:val="Normal"/>
        <w:widowControl w:val="false"/>
        <w:shd w:val="clear" w:color="auto" w:fill="FFFFFF"/>
        <w:spacing w:lineRule="auto" w:line="264" w:before="120" w:after="0"/>
        <w:ind w:firstLine="720"/>
        <w:jc w:val="both"/>
        <w:rPr>
          <w:spacing w:val="-2"/>
          <w:lang w:val="en-US"/>
        </w:rPr>
      </w:pPr>
      <w:r>
        <w:rPr>
          <w:spacing w:val="-2"/>
          <w:lang w:val="en-US"/>
        </w:rPr>
        <w:t>- Nghị quyết số 22-NQ/TW ngày 15/3/2018 của Bộ Chính trị về tiếp tục đổi mới, sắp xếp tổ chức bộ máy Bộ Công an tinh gọn, hoạt động hiệu lực, hiệu quả; Nghị quyết số 12-NQ/TW ngày 16/3/2022 của Bộ Chính trị về đẩy mạnh xây dựng lực lượng Công an nhân dân thật sự trong sạch, vững mạnh, chính quy, tinh nhuệ, hiện đại, đáp ứng yêu cầu, nhiệm vụ trong tình hình mới, trong đó xác định nhiệm vụ tiếp tục hoàn thiện tổ chức bộ máy bên trong của Công an đơn vị, địa phương tinh, gọn, mạnh, đáp ứng yêu cầu nhiệm vụ được giao.</w:t>
      </w:r>
    </w:p>
    <w:p>
      <w:pPr>
        <w:pStyle w:val="Normal"/>
        <w:widowControl w:val="false"/>
        <w:spacing w:lineRule="auto" w:line="264" w:before="120" w:after="0"/>
        <w:ind w:firstLine="720"/>
        <w:jc w:val="both"/>
        <w:rPr>
          <w:spacing w:val="-2"/>
          <w:lang w:val="en-US"/>
        </w:rPr>
      </w:pPr>
      <w:r>
        <w:rPr>
          <w:spacing w:val="-2"/>
          <w:lang w:val="en-US"/>
        </w:rPr>
        <w:t>- Nghị quyết số 27-NQ/TW ngày 09/11/2022 Hội nghị lần thứ sáu Ban chấp hành Trung ương Đảng khoá XIII về tiếp tục xây dựng và hoàn thiện nhà nước pháp quyền xã hội chủ nghĩa Việt Nam trong giai đoạn mới xác định nhiệm vụ xây dựng nền tư pháp chuyên nghiệp, hiện đại, công bằng, nghiêm minh, liêm chính, phụng sự, trong đó cần “</w:t>
      </w:r>
      <w:r>
        <w:rPr>
          <w:i/>
          <w:spacing w:val="-2"/>
          <w:lang w:val="en-US"/>
        </w:rPr>
        <w:t>Tiếp tục rà soát, điều chỉnh, hoàn thiện chức năng, nhiệm vụ, tổ chức bộ máy của cơ quan điều tra và các cơ quan được giao nhiệm vụ tiến hành một số hoạt động điều tra theo hướng tinh, gọn, chuyên nghiệp, chất lượng, hiệu lực, hiệu quả, đáp ứng yêu cầu, nhiệm vụ được giao</w:t>
      </w:r>
      <w:r>
        <w:rPr>
          <w:spacing w:val="-2"/>
          <w:lang w:val="en-US"/>
        </w:rPr>
        <w:t>”.</w:t>
      </w:r>
    </w:p>
    <w:p>
      <w:pPr>
        <w:pStyle w:val="Normal"/>
        <w:widowControl w:val="false"/>
        <w:spacing w:lineRule="auto" w:line="264" w:before="120" w:after="0"/>
        <w:ind w:firstLine="709"/>
        <w:jc w:val="both"/>
        <w:rPr/>
      </w:pPr>
      <w:r>
        <w:rPr/>
        <w:t>- Nghị quyết số 60-NQ/TW ngày 12/4/2025 của Ban Chấp hành hành Trung ương Đảng khóa XIII (sau đây viết gọn là Nghị quyết số 60-NQ/TW) trong đó có nội dung chủ trương tổ chức chính quyền hai cấp, kết thúc hoạt động của đơn vị hành chính cấp huyện sau khi Luật Tổ chức chính quyền địa phương năm 2025 (sửa đổi) có hiệu lực thi hành kể từ ngày 01/7/2025.</w:t>
      </w:r>
    </w:p>
    <w:p>
      <w:pPr>
        <w:pStyle w:val="Normal"/>
        <w:widowControl w:val="false"/>
        <w:spacing w:lineRule="auto" w:line="264" w:before="120" w:after="0"/>
        <w:ind w:firstLine="709"/>
        <w:jc w:val="both"/>
        <w:rPr/>
      </w:pPr>
      <w:r>
        <w:rPr/>
        <w:t>- Nghị quyết Đại hội Đại biểu toàn quốc lần thứ XIV của Đảng xác định định hướng phát triển đất nước giai đoạn 2026-2030</w:t>
      </w:r>
      <w:r>
        <w:rPr>
          <w:lang w:val="vi-VN"/>
        </w:rPr>
        <w:t xml:space="preserve"> là </w:t>
      </w:r>
      <w:r>
        <w:rPr>
          <w:i/>
          <w:iCs/>
        </w:rPr>
        <w:t>“Tiếp tục đẩy mạnh xây dựng và hoàn thiện Nhà nước pháp quyền xã hội chủ nghĩa Việt Nam của Nhân dân, do Nhân dân, vì Nhân dân dưới sự lãnh đạo của Ðảng Cộng sản Việt Nam, đặt trong tổng thể công tác xây dựng, chỉnh đốn Đảng và hệ thống chính trị trong sạch, vững mạnh toàn diện; xây dựng nền quản trị quốc gia hiện đại, hiệu lực, hiệu quả; có hệ thống pháp luật hoàn chỉnh, được thực hiện nghiêm minh; bảo đảm và bảo vệ công lý, quyền con người, quyền công dân</w:t>
      </w:r>
      <w:r>
        <w:rPr/>
        <w:t>”; nhiệm vụ trọng tâm trong nhiệm kỳ Đại hội XIV “</w:t>
      </w:r>
      <w:r>
        <w:rPr>
          <w:i/>
          <w:iCs/>
        </w:rPr>
        <w:t>Tập trung ưu tiên xây dựng đồng bộ thể chế phát triển, trọng tâm là hệ thống pháp luật, cơ chế, chính sách nhằm tháo gỡ kịp thời, dứt điểm các nút thắt, điểm nghẽn, thúc đẩy đổi mới sáng tạo, bảo đảm sự đồng bộ, hài hoà giữa tăng trưởng và phát triển; giữa kinh tế, xã hội, môi trường với quốc phòng, an ninh, đối ngoại; giữa đổi mới, hoàn thiện thể chế với các chuyển đổi trọng tâm, toàn diện trên mọi lĩnh vực, phù hợp với mô hình chính quyền 3 cấp, đáp ứng yêu cầu phát triển nhanh, bền vững đất nước trong kỷ nguyên mới</w:t>
      </w:r>
      <w:r>
        <w:rPr/>
        <w:t>”.</w:t>
      </w:r>
    </w:p>
    <w:p>
      <w:pPr>
        <w:pStyle w:val="Normal"/>
        <w:widowControl w:val="false"/>
        <w:spacing w:lineRule="auto" w:line="264" w:before="120" w:after="0"/>
        <w:ind w:firstLine="709"/>
        <w:jc w:val="both"/>
        <w:rPr>
          <w:b/>
          <w:i/>
          <w:lang w:val="pt-BR"/>
        </w:rPr>
      </w:pPr>
      <w:r>
        <w:rPr>
          <w:b/>
          <w:i/>
          <w:lang w:val="pt-BR"/>
        </w:rPr>
        <w:t>1</w:t>
      </w:r>
      <w:r>
        <w:rPr>
          <w:b/>
          <w:i/>
          <w:lang w:val="vi-VN"/>
        </w:rPr>
        <w:t>.2.</w:t>
      </w:r>
      <w:r>
        <w:rPr>
          <w:b/>
          <w:i/>
          <w:lang w:val="pt-BR"/>
        </w:rPr>
        <w:t xml:space="preserve"> Cơ sở pháp lý</w:t>
      </w:r>
    </w:p>
    <w:p>
      <w:pPr>
        <w:pStyle w:val="Normal"/>
        <w:widowControl w:val="false"/>
        <w:spacing w:lineRule="auto" w:line="264" w:before="120" w:after="0"/>
        <w:ind w:firstLine="720"/>
        <w:jc w:val="both"/>
        <w:rPr>
          <w:bCs/>
          <w:lang w:val="it-IT"/>
        </w:rPr>
      </w:pPr>
      <w:r>
        <w:rPr>
          <w:bCs/>
          <w:lang w:val="it-IT"/>
        </w:rPr>
        <w:t>Cơ sở pháp lý của việc xây dựng</w:t>
      </w:r>
      <w:r>
        <w:rPr>
          <w:bCs/>
          <w:lang w:val="vi-VN"/>
        </w:rPr>
        <w:t xml:space="preserve"> các chính sách của</w:t>
      </w:r>
      <w:r>
        <w:rPr>
          <w:bCs/>
          <w:lang w:val="it-IT"/>
        </w:rPr>
        <w:t xml:space="preserve"> dự án Luật Tổ chức cơ quan điều tra hình sự (sửa đổi) là hệ thống các văn bản pháp luật của Nhà nước liên quan đến tư pháp, hình sự; điển hình như:</w:t>
      </w:r>
    </w:p>
    <w:p>
      <w:pPr>
        <w:pStyle w:val="Normal"/>
        <w:widowControl w:val="false"/>
        <w:spacing w:lineRule="auto" w:line="264" w:before="120" w:after="0"/>
        <w:ind w:firstLine="720"/>
        <w:jc w:val="both"/>
        <w:rPr>
          <w:lang w:val="en-US"/>
        </w:rPr>
      </w:pPr>
      <w:r>
        <w:rPr>
          <w:bCs/>
          <w:lang w:val="it-IT"/>
        </w:rPr>
        <w:t>-</w:t>
      </w:r>
      <w:r>
        <w:rPr>
          <w:lang w:val="en-US"/>
        </w:rPr>
        <w:t xml:space="preserve"> Hiến pháp năm 2013: </w:t>
      </w:r>
    </w:p>
    <w:p>
      <w:pPr>
        <w:pStyle w:val="Normal"/>
        <w:widowControl w:val="false"/>
        <w:spacing w:lineRule="auto" w:line="264" w:before="120" w:after="0"/>
        <w:ind w:firstLine="720"/>
        <w:jc w:val="both"/>
        <w:rPr>
          <w:lang w:val="en-US"/>
        </w:rPr>
      </w:pPr>
      <w:r>
        <w:rPr>
          <w:lang w:val="en-US"/>
        </w:rPr>
        <w:t>+ Khoản 3 Điều 2 quy định “Quyền lực nhà nước là thống nhất, có sự phân công, phối hợp, kiểm soát giữa các cơ quan nhà nước trong việc thực hiện các quyền lập pháp, hành pháp và tư pháp”.</w:t>
      </w:r>
    </w:p>
    <w:p>
      <w:pPr>
        <w:pStyle w:val="Normal"/>
        <w:widowControl w:val="false"/>
        <w:spacing w:lineRule="auto" w:line="264" w:before="120" w:after="0"/>
        <w:ind w:firstLine="720"/>
        <w:jc w:val="both"/>
        <w:rPr>
          <w:lang w:val="en-GB"/>
        </w:rPr>
      </w:pPr>
      <w:r>
        <w:rPr>
          <w:lang w:val="en-US"/>
        </w:rPr>
        <w:t xml:space="preserve">+ </w:t>
      </w:r>
      <w:r>
        <w:rPr>
          <w:lang w:val="en-GB"/>
        </w:rPr>
        <w:t xml:space="preserve">Điều 107 Hiến pháp năm 2013 quy định “Viện kiểm sát nhân dân thực hành quyền công tố, kiểm sát hoạt động tư pháp”. </w:t>
      </w:r>
    </w:p>
    <w:p>
      <w:pPr>
        <w:pStyle w:val="Normal"/>
        <w:widowControl w:val="false"/>
        <w:spacing w:lineRule="auto" w:line="264" w:before="120" w:after="0"/>
        <w:ind w:firstLine="720"/>
        <w:jc w:val="both"/>
        <w:rPr>
          <w:lang w:val="en-US"/>
        </w:rPr>
      </w:pPr>
      <w:r>
        <w:rPr/>
        <w:t xml:space="preserve"> </w:t>
      </w:r>
      <w:r>
        <w:rPr>
          <w:bCs/>
          <w:spacing w:val="-2"/>
          <w:lang w:val="en-US"/>
        </w:rPr>
        <w:t>-</w:t>
      </w:r>
      <w:r>
        <w:rPr>
          <w:bCs/>
          <w:spacing w:val="-2"/>
          <w:lang w:val="vi-VN"/>
        </w:rPr>
        <w:t xml:space="preserve"> Bộ luật Tố tụng hình sự năm 2015</w:t>
      </w:r>
      <w:r>
        <w:rPr>
          <w:bCs/>
          <w:spacing w:val="-2"/>
          <w:lang w:val="en-US"/>
        </w:rPr>
        <w:t xml:space="preserve">: </w:t>
      </w:r>
      <w:r>
        <w:rPr>
          <w:lang w:val="en-US"/>
        </w:rPr>
        <w:t>Quy định trình tự, thủ tục tiếp nhận, giải quyết nguồn tin về tội phạm, khởi tố, điều tra, truy tố, xét xử; nhiệm vụ, quyền hạn và mối quan hệ giữa các cơ quan có thẩm quyền</w:t>
      </w:r>
      <w:r>
        <w:rPr>
          <w:b/>
          <w:bCs/>
          <w:i/>
          <w:iCs/>
          <w:lang w:val="en-US"/>
        </w:rPr>
        <w:t xml:space="preserve"> </w:t>
      </w:r>
      <w:r>
        <w:rPr>
          <w:lang w:val="en-US"/>
        </w:rPr>
        <w:t>tiến hành tố tụng; nhiệm vụ, quyền hạn và trách nhiệm của người có thẩm quyền tiến hành tố tụng; quyền và nghĩa vụ của người tham gia tố tụng, cơ quan, tổ chức, cá nhân; hợp tác quốc tế trong tố tụng hình sự.</w:t>
      </w:r>
    </w:p>
    <w:p>
      <w:pPr>
        <w:pStyle w:val="Normal"/>
        <w:spacing w:lineRule="auto" w:line="264" w:before="120" w:after="0"/>
        <w:ind w:firstLine="720"/>
        <w:jc w:val="both"/>
        <w:rPr>
          <w:color w:themeColor="text1" w:val="000000"/>
          <w:lang w:val="en-US"/>
        </w:rPr>
      </w:pPr>
      <w:r>
        <w:rPr>
          <w:color w:themeColor="text1" w:val="000000"/>
          <w:lang w:val="en-US"/>
        </w:rPr>
        <w:t>- Bên cạnh đó, một số các văn bản pháp luật có liên quan, như: Bộ luật Hình sự, Luật Tổ chức cơ quan điều tra hình sự, Luật Công an nhân dân, Luật Biên phòng Việt Nam, Luật Cảnh sát Biển,… có nhiều nội dung liên quan đến Luật Tổ chức cơ quan điều tra hình sự cần được sửa đổi để đảm bảo đồng bộ, thống nhất của hệ thống pháp luật.</w:t>
      </w:r>
    </w:p>
    <w:p>
      <w:pPr>
        <w:pStyle w:val="Normal"/>
        <w:widowControl w:val="false"/>
        <w:spacing w:lineRule="auto" w:line="264" w:before="120" w:after="0"/>
        <w:ind w:firstLine="709"/>
        <w:jc w:val="both"/>
        <w:rPr/>
      </w:pPr>
      <w:r>
        <w:rPr/>
        <w:t>Đây là những định hướng quan trọng cho việc nghiên cứu, hoàn thiện các quy định của Luật Tổ chức cơ quan điều tra hình sự nhằm đảm bảo tính đồng bộ, thống nhất của hệ thống pháp luật; thể chế hóa quan điểm của Đảng và Nhà nước ta trong tình hình mới.</w:t>
      </w:r>
    </w:p>
    <w:p>
      <w:pPr>
        <w:pStyle w:val="Normal"/>
        <w:widowControl w:val="false"/>
        <w:spacing w:before="120" w:after="0"/>
        <w:ind w:firstLine="709"/>
        <w:jc w:val="both"/>
        <w:rPr>
          <w:b/>
          <w:bCs/>
        </w:rPr>
      </w:pPr>
      <w:r>
        <w:rPr>
          <w:b/>
          <w:bCs/>
        </w:rPr>
        <w:t xml:space="preserve"> </w:t>
      </w:r>
      <w:r>
        <w:rPr>
          <w:b/>
          <w:bCs/>
        </w:rPr>
        <w:t>2. Cơ sở thực tiễn</w:t>
      </w:r>
    </w:p>
    <w:p>
      <w:pPr>
        <w:pStyle w:val="Normal"/>
        <w:shd w:val="clear" w:color="auto" w:fill="FFFFFF"/>
        <w:spacing w:before="120" w:after="0"/>
        <w:ind w:firstLine="720"/>
        <w:jc w:val="both"/>
        <w:rPr>
          <w:bCs/>
          <w:spacing w:val="-2"/>
          <w:lang w:val="en-GB"/>
        </w:rPr>
      </w:pPr>
      <w:r>
        <w:rPr>
          <w:bCs/>
          <w:spacing w:val="-2"/>
          <w:lang w:val="en-GB"/>
        </w:rPr>
        <w:t>Thực hiện các chủ trương của Đảng, Nhà nước</w:t>
      </w:r>
      <w:r>
        <w:rPr>
          <w:rFonts w:eastAsia="Courier New"/>
          <w:color w:val="000000"/>
          <w:spacing w:val="2"/>
          <w:lang w:val="en-US" w:eastAsia="vi-VN"/>
        </w:rPr>
        <w:t xml:space="preserve"> trong công cuộc đổi mới toàn diện</w:t>
      </w:r>
      <w:r>
        <w:rPr>
          <w:bCs/>
          <w:spacing w:val="-2"/>
          <w:lang w:val="en-GB"/>
        </w:rPr>
        <w:t>, sắp xếp, tinh gọn bộ máy Công an đơn vị, địa phương có tác động, ảnh hưởng trực tiếp đến hệ thống tổ chức, bộ máy Cơ quan điều tra của Công an nhân dân. Trong đó, Công an các địa phương tổ chức theo hướng sắp xếp tinh gọn tổ chức bộ máy, giảm tầng nấc trung gian, lực lượng Công an nhân dân được tổ chức gồm 03 cấp: Bộ Công an, Công an cấp tỉnh, Công an cấp xã và không tổ chức Công an cấp huyện. Theo đó, Cơ quan Cảnh sát điều tra trong Công an nhân dân cũng được tổ chức theo mô hình gồm 02 cấp: Cơ quan Cảnh sát điều tra Bộ Công an và Cơ quan Cảnh sát điều tra Công an cấp tỉnh và không tổ chức Cơ quan Cảnh sát điều tra Công an cấp huyện.</w:t>
      </w:r>
    </w:p>
    <w:p>
      <w:pPr>
        <w:pStyle w:val="Normal"/>
        <w:shd w:val="clear" w:color="auto" w:fill="FFFFFF"/>
        <w:spacing w:before="120" w:after="0"/>
        <w:ind w:firstLine="720"/>
        <w:jc w:val="both"/>
        <w:rPr>
          <w:bCs/>
          <w:spacing w:val="-4"/>
          <w:lang w:val="en-GB"/>
        </w:rPr>
      </w:pPr>
      <w:r>
        <w:rPr>
          <w:bCs/>
          <w:spacing w:val="-4"/>
          <w:lang w:val="en-GB"/>
        </w:rPr>
        <w:t xml:space="preserve"> </w:t>
      </w:r>
      <w:r>
        <w:rPr>
          <w:bCs/>
          <w:spacing w:val="-4"/>
          <w:lang w:val="en-GB"/>
        </w:rPr>
        <w:t>Đồng thời, một số cơ quan được giao nhiệm vụ tiến hành một số hoạt động điều tra cũng được tổ chức lại theo mô hình tổ chức mới của các bộ, ngành theo hướng tinh gọn, không tổ chức mô hình tổng cục thuộc Bộ, như: Tổng cục Hải quan thuộc Bộ Tài chính được tổ chức thành Cục Hải quan và sắp xếp, cơ cấu lại các Cục Hải quan khu vực thành các Chi cục Hải quan khu vực, sắp xếp, cơ cấu lại các Chi cục Hải quan thành các Hải quan cửa khẩu/ngoài cửa khẩu. Cục kiểm lâm thuộc Bộ Nông nghiệp và Phát triển nông thôn được tổ chức trên cơ sở sắp xếp, kiện toàn lại Tổng cục Lâm nghiệp và hiện nay được tổ chức, sắp xếp lại thành Cục Lâm nghiệp và Kiểm lâm trực thuộc Bộ Nông nghiệp và Môi trường. Cùng với đó, Cục Kiểm ngư thuộc Bộ Nông nghiệp và Phát triển nông thôn được tổ chức trên cơ sở sắp xếp, kiện toàn lại Tổng cục Thủy sản và hiện nay được tổ chức, sắp xếp lại thành Cục Thủy sản và Kiểm ngư trực thuộc Bộ Nông nghiệp và Môi trường.</w:t>
      </w:r>
    </w:p>
    <w:p>
      <w:pPr>
        <w:pStyle w:val="Normal"/>
        <w:shd w:val="clear" w:color="auto" w:fill="FFFFFF"/>
        <w:spacing w:before="120" w:after="0"/>
        <w:ind w:firstLine="720"/>
        <w:jc w:val="both"/>
        <w:rPr>
          <w:bCs/>
          <w:spacing w:val="-2"/>
          <w:lang w:val="en-GB"/>
        </w:rPr>
      </w:pPr>
      <w:r>
        <w:rPr>
          <w:bCs/>
          <w:spacing w:val="-2"/>
          <w:lang w:val="en-GB"/>
        </w:rPr>
        <w:t>Bên cạnh đó, trong quá trình thực tiễn áp dụng các quy định của Luật Tổ chức cơ quan điều tra hình sự năm 2015 còn phát sinh một số khó khăn, vướng mắc như sau:</w:t>
      </w:r>
    </w:p>
    <w:p>
      <w:pPr>
        <w:pStyle w:val="Normal"/>
        <w:widowControl w:val="false"/>
        <w:spacing w:before="120" w:after="0"/>
        <w:ind w:firstLine="720"/>
        <w:jc w:val="both"/>
        <w:rPr>
          <w:rFonts w:eastAsia="Courier New"/>
          <w:lang w:val="it-IT" w:eastAsia="vi-VN"/>
        </w:rPr>
      </w:pPr>
      <w:r>
        <w:rPr>
          <w:rFonts w:eastAsia="Courier New"/>
          <w:i/>
          <w:lang w:val="it-IT" w:eastAsia="vi-VN"/>
        </w:rPr>
        <w:t>Thứ nhất,</w:t>
      </w:r>
      <w:r>
        <w:rPr>
          <w:rFonts w:eastAsia="Courier New"/>
          <w:lang w:val="it-IT" w:eastAsia="vi-VN"/>
        </w:rPr>
        <w:t xml:space="preserve"> hệ thống pháp luật liên quan đến điều tra hình sự còn tồn tại một số những vướng mắc, bất cập.</w:t>
      </w:r>
    </w:p>
    <w:p>
      <w:pPr>
        <w:pStyle w:val="Normal"/>
        <w:widowControl w:val="false"/>
        <w:spacing w:before="120" w:after="0"/>
        <w:ind w:firstLine="720"/>
        <w:jc w:val="both"/>
        <w:rPr>
          <w:rFonts w:eastAsia="Courier New"/>
          <w:lang w:val="it-IT" w:eastAsia="vi-VN"/>
        </w:rPr>
      </w:pPr>
      <w:r>
        <w:rPr>
          <w:rFonts w:eastAsia="Courier New"/>
          <w:lang w:val="it-IT" w:eastAsia="vi-VN"/>
        </w:rPr>
        <w:t xml:space="preserve"> </w:t>
      </w:r>
      <w:r>
        <w:rPr>
          <w:rFonts w:eastAsia="Courier New"/>
          <w:lang w:val="it-IT" w:eastAsia="vi-VN"/>
        </w:rPr>
        <w:t>+ Thực hiện các chủ trương của Đảng trong công cuộc đổi mới toàn diện, đồng bộ trong sắp xếp bộ máy hành chính theo hướng tinh gọn, hoạt động hiệu lực, hiệu quả, không tổ chức đơn vị hành chính cấp huyện; Chính phủ và các địa phương đã tổ chức sắp xếp, cơ cấu lại số lượng các bộ, ngành và tổ chức lại bộ máy các cơ quan hành chính, đơn vị thuộc các bộ, ngành và địa phương. Vì vậy, về mô hình tổ chức và tên gọi của một số Cơ quan điều tra và cơ quan được giao nhiệm vụ tiến hành một số hoạt động điều tra trên thực tế đã có sự thay đổi so với Luật Tổ chức cơ quan điều tra hình sự hiện hành và cần thiết phải được nghiên cứu để sửa đổi, bổ sung cho phù hợp với thực tiễn.</w:t>
      </w:r>
    </w:p>
    <w:p>
      <w:pPr>
        <w:pStyle w:val="Normal"/>
        <w:widowControl w:val="false"/>
        <w:spacing w:before="120" w:after="0"/>
        <w:ind w:firstLine="700" w:right="56"/>
        <w:jc w:val="both"/>
        <w:rPr>
          <w:color w:val="000000"/>
          <w:spacing w:val="-6"/>
          <w:lang w:val="en-GB" w:eastAsia="en-GB"/>
        </w:rPr>
      </w:pPr>
      <w:r>
        <w:rPr>
          <w:color w:val="000000"/>
          <w:spacing w:val="-6"/>
          <w:lang w:val="en-GB" w:eastAsia="en-GB"/>
        </w:rPr>
        <w:t xml:space="preserve">+ Hiện nay, hệ thống cơ quan điều tra thực hiện thẩm quyền điều tra các loại tội phạm theo quy định của pháp luật. Việc phân định thẩm quyền giữa các cơ quan điều tra được xác lập trên cơ sở nhiều tiêu chí khác nhau như loại tội phạm, chủ thể thực hiện hành vi, phạm tội, lĩnh vực quản lý nhà nước, địa bàn xảy ra vụ việc và yếu tố đặc thù khác. Trong quá trình điều tra các tội phạm quy định từ Chương XIV đến Chương XXIV Bộ luật Hình sự thì giữa các cơ quan điều tra trong hệ thống cơ quan điều tra gặp nhiều khó khăn, vướng mắc trong việc phân định thẩm quyền điều tra, còn tình trạng phải chuyển, tách vụ án hình sự, chưa bảo đảm tính thông suốt trong hoạt động tố tụng hình sự và làm phát sinh thủ tục, chi phí tố tụng hình sự không cần thiết, ảnh hưởng đến quá trình giải quyết vụ án hình sự. </w:t>
      </w:r>
    </w:p>
    <w:p>
      <w:pPr>
        <w:pStyle w:val="Normal"/>
        <w:widowControl w:val="false"/>
        <w:spacing w:before="120" w:after="0"/>
        <w:ind w:firstLine="700" w:right="56"/>
        <w:jc w:val="both"/>
        <w:rPr>
          <w:spacing w:val="-2"/>
          <w:lang w:val="en-GB" w:eastAsia="en-GB"/>
        </w:rPr>
      </w:pPr>
      <w:r>
        <w:rPr>
          <w:spacing w:val="-2"/>
          <w:lang w:val="en-GB" w:eastAsia="en-GB"/>
        </w:rPr>
        <w:t>+ Việc thực hiện các quy định về các chức danh trong Công an nhân dân như Trinh sát viên, Chuyên viên… được thực hiện qua hình thức xét tuyển trên cơ sở các điều kiện tương đối chặt chẽ. Tuy nhiên, trên thực tế, Điều tra viên là một chức danh tư pháp đòi hỏi phải có kinh nghiệm thực tiễn, kỹ năng được trau dồi qua các hoạt động điều tra và được phản ánh qua kết quả, số lượng giải quyết các vụ án, vụ việc mà không phụ thuộc nhiều vào các tiêu chuẩn, điều kiện thi tuyển. Mặt khác, việc đặt ra các tiêu chuẩn, điều kiện thi tuyển đối với các ngạch chức danh Điều tra viên làm phát sinh thêm các thủ tục hành chính không cần thiết, gây ra tốn kém, lãng phí.</w:t>
      </w:r>
    </w:p>
    <w:p>
      <w:pPr>
        <w:pStyle w:val="Normal"/>
        <w:widowControl w:val="false"/>
        <w:spacing w:before="120" w:after="0"/>
        <w:ind w:firstLine="700" w:right="56"/>
        <w:jc w:val="both"/>
        <w:rPr>
          <w:lang w:val="it-IT"/>
        </w:rPr>
      </w:pPr>
      <w:r>
        <w:rPr>
          <w:lang w:val="it-IT"/>
        </w:rPr>
        <w:t>Bên cạnh đó, trong quá trình tiếp nhận, giải quyết tố giác, tin báo về tội phạm cũng như trong quá trình điều tra vụ án hình sự, các cơ quan được giao nhiệm vụ tiến hành một số hoạt động điều tra thuộc Công an nhân dân, lực lượng Kiểm lâm, Hải quan không có thẩm quyền ra lệnh khám xét khẩn cấp, lệnh giữ người trong trường hợp khẩn cấp, lệnh bắt người bị giữ trong trường hợp khẩn cấp và quyết định tạm giữ. Điều này đã gây ra những khó khăn trong ngăn chặn tội phạm, ngăn chặn người bị tố giác bỏ trốn, hoặc có hành vi tiêu hủy tài liệu, vật chứng của vụ án.</w:t>
      </w:r>
    </w:p>
    <w:p>
      <w:pPr>
        <w:pStyle w:val="Normal"/>
        <w:widowControl w:val="false"/>
        <w:spacing w:before="120" w:after="0"/>
        <w:ind w:firstLine="709"/>
        <w:jc w:val="both"/>
        <w:rPr>
          <w:rFonts w:eastAsia="Courier New"/>
          <w:spacing w:val="-4"/>
          <w:lang w:val="it-IT" w:eastAsia="vi-VN"/>
        </w:rPr>
      </w:pPr>
      <w:r>
        <w:rPr>
          <w:rFonts w:eastAsia="Courier New"/>
          <w:i/>
          <w:spacing w:val="-4"/>
          <w:lang w:val="it-IT" w:eastAsia="vi-VN"/>
        </w:rPr>
        <w:t>Thứ hai,</w:t>
      </w:r>
      <w:r>
        <w:rPr>
          <w:rFonts w:eastAsia="Courier New"/>
          <w:spacing w:val="-4"/>
          <w:lang w:val="it-IT" w:eastAsia="vi-VN"/>
        </w:rPr>
        <w:t xml:space="preserve"> việc tổ chức hệ thống, thẩm quyền các Cơ quan điều tra, Cơ quan được giao nhiệm vụ tiến hành một số hoạt động điều tra hiện nay trên thực tiễn còn tồn tại một số những tồn tại, bất cập, cụ thể như sau:</w:t>
      </w:r>
    </w:p>
    <w:p>
      <w:pPr>
        <w:pStyle w:val="Normal"/>
        <w:widowControl w:val="false"/>
        <w:spacing w:before="120" w:after="0"/>
        <w:ind w:firstLine="720"/>
        <w:jc w:val="both"/>
        <w:rPr>
          <w:rFonts w:eastAsia="Courier New"/>
          <w:bCs/>
          <w:lang w:val="en-US" w:eastAsia="vi-VN"/>
        </w:rPr>
      </w:pPr>
      <w:r>
        <w:rPr>
          <w:spacing w:val="-2"/>
          <w:lang w:val="en-US"/>
        </w:rPr>
        <w:t>Việc tổ chức Cơ quan điều tra ở nhiều bộ, ngành tạo ra nhiều đầu mối khiến hệ thống Cơ quan điều tra vẫn còn cồng kềnh, chồng chéo, chưa phân định rõ thẩm quyền của các Cơ quan điều tra đặt ra vấn đề cần nghiên cứu</w:t>
      </w:r>
      <w:r>
        <w:rPr>
          <w:rFonts w:eastAsia="Courier New" w:cs="Courier New" w:ascii="Courier New" w:hAnsi="Courier New"/>
          <w:bCs/>
          <w:sz w:val="24"/>
          <w:szCs w:val="24"/>
          <w:lang w:val="en-US" w:eastAsia="vi-VN"/>
        </w:rPr>
        <w:t xml:space="preserve"> </w:t>
      </w:r>
      <w:r>
        <w:rPr>
          <w:rFonts w:eastAsia="Courier New"/>
          <w:bCs/>
          <w:lang w:val="en-US" w:eastAsia="vi-VN"/>
        </w:rPr>
        <w:t>k</w:t>
      </w:r>
      <w:r>
        <w:rPr>
          <w:rFonts w:eastAsia="Courier New"/>
          <w:bCs/>
          <w:lang w:val="vi-VN" w:eastAsia="vi-VN"/>
        </w:rPr>
        <w:t>iện toàn hệ thống cơ quan điều tra theo hướng tinh, gọn, chuyên nghiệp, chất lượng, hiệu lực, hiệu quả, đáp ứng yêu cầu, nhiệm vụ được giao theo chỉ đạo tại Nghị quyết số 27-NQ/TW ngày 09/11/2022 của Ban Chấp hành Trung ương về tiếp tục xây dựng và hoàn thiện Nhà nước pháp quyền trong giai đoạn mới; xây dựng chế định tố tụng tư pháp lấy xét xử làm trung tâm, khắc phục tình trạng cồng kềnh, chồng chéo, nhiều đầu mối trong hệ thống cơ quan điều tra; đồng bộ về tổ chức bộ máy, đồng thời phân định rõ ràng các chức năng điều tra, truy tố và xét xử của cơ quan điều tra, Viện kiểm sát nhân dân, Tòa án nhân dân</w:t>
      </w:r>
      <w:r>
        <w:rPr>
          <w:rFonts w:eastAsia="Courier New"/>
          <w:bCs/>
          <w:lang w:val="en-US" w:eastAsia="vi-VN"/>
        </w:rPr>
        <w:t>.</w:t>
      </w:r>
    </w:p>
    <w:p>
      <w:pPr>
        <w:pStyle w:val="Normal"/>
        <w:spacing w:before="120" w:after="0"/>
        <w:ind w:firstLine="720"/>
        <w:jc w:val="both"/>
        <w:rPr>
          <w:bCs/>
          <w:lang w:val="en-US"/>
        </w:rPr>
      </w:pPr>
      <w:r>
        <w:rPr>
          <w:bCs/>
          <w:lang w:val="en-US"/>
        </w:rPr>
        <w:t>Bên cạnh đó, trong quá trình thực hiện nhiệm vụ, quyền hạn, thẩm quyền điều tra của các cơ quan được giao nhiệm vụ tiến hành một số hoạt động điều tra (như Kiểm lâm, Kiểm ngư, Hải quan) chưa bảo đảm phù hợp với tình hình thực tiễn và chưa phù hợp với chức năng, nhiệm vụ, năng lực của các cơ quan này trên thực tế.</w:t>
      </w:r>
    </w:p>
    <w:p>
      <w:pPr>
        <w:pStyle w:val="Normal"/>
        <w:shd w:val="clear" w:color="auto" w:fill="FFFFFF"/>
        <w:spacing w:before="120" w:after="0"/>
        <w:ind w:firstLine="720"/>
        <w:jc w:val="both"/>
        <w:rPr>
          <w:spacing w:val="-2"/>
        </w:rPr>
      </w:pPr>
      <w:r>
        <w:rPr>
          <w:spacing w:val="-2"/>
          <w:lang w:val="en-US"/>
        </w:rPr>
        <w:t xml:space="preserve">Từ những cơ sở thực tiễn nêu trên, có thể khẳng định rằng việc sửa đổi, bổ sung </w:t>
      </w:r>
      <w:r>
        <w:rPr/>
        <w:t>Luật Tổ chức cơ quan điều tra hình sự</w:t>
      </w:r>
      <w:r>
        <w:rPr>
          <w:spacing w:val="-2"/>
          <w:lang w:val="en-US"/>
        </w:rPr>
        <w:t xml:space="preserve"> là một yêu cầu khách quan, tất yếu, nhằm bảo đảm cho công cụ pháp lý quan trọng này luôn phù hợp với thực tiễn, đáp ứng yêu cầu đấu tranh phòng, chống tội phạm, bảo vệ quyền con người, quyền công dân, đồng thời phục vụ hiệu quả sự nghiệp xây dựng và phát triển đất nước trong giai đoạn mới.</w:t>
      </w:r>
    </w:p>
    <w:p>
      <w:pPr>
        <w:pStyle w:val="Normal"/>
        <w:widowControl w:val="false"/>
        <w:tabs>
          <w:tab w:val="clear" w:pos="720"/>
          <w:tab w:val="right" w:pos="7920" w:leader="none"/>
        </w:tabs>
        <w:spacing w:before="120" w:after="0"/>
        <w:ind w:firstLine="706"/>
        <w:jc w:val="both"/>
        <w:rPr>
          <w:b/>
          <w:bCs/>
        </w:rPr>
      </w:pPr>
      <w:r>
        <w:rPr>
          <w:b/>
          <w:bCs/>
        </w:rPr>
        <w:t>II. MỤC ĐÍCH, QUAN ĐIỂM XÂY DỰNG CHÍNH SÁCH</w:t>
      </w:r>
    </w:p>
    <w:p>
      <w:pPr>
        <w:pStyle w:val="Normal"/>
        <w:widowControl w:val="false"/>
        <w:tabs>
          <w:tab w:val="clear" w:pos="720"/>
          <w:tab w:val="right" w:pos="7920" w:leader="none"/>
        </w:tabs>
        <w:spacing w:before="120" w:after="0"/>
        <w:ind w:firstLine="706"/>
        <w:jc w:val="both"/>
        <w:rPr>
          <w:rStyle w:val="Strong"/>
          <w:bCs w:val="false"/>
        </w:rPr>
      </w:pPr>
      <w:r>
        <w:rPr>
          <w:rStyle w:val="Strong"/>
          <w:bCs w:val="false"/>
        </w:rPr>
        <w:t>1. Mục đích xây dựng chính sách</w:t>
      </w:r>
    </w:p>
    <w:p>
      <w:pPr>
        <w:pStyle w:val="Normal"/>
        <w:widowControl w:val="false"/>
        <w:tabs>
          <w:tab w:val="clear" w:pos="720"/>
          <w:tab w:val="right" w:pos="7920" w:leader="none"/>
        </w:tabs>
        <w:spacing w:before="120" w:after="0"/>
        <w:ind w:firstLine="706"/>
        <w:jc w:val="both"/>
        <w:rPr>
          <w:rStyle w:val="Strong"/>
          <w:b w:val="false"/>
          <w:bCs w:val="false"/>
        </w:rPr>
      </w:pPr>
      <w:r>
        <w:rPr>
          <w:rStyle w:val="Strong"/>
          <w:b w:val="false"/>
          <w:bCs w:val="false"/>
        </w:rPr>
        <w:t xml:space="preserve">Việc xây dựng chính sách dự án Luật Tổ chức cơ quan điều tra hình sự (sửa đổi) nhằm mục đích cụ thể sau đây: </w:t>
      </w:r>
    </w:p>
    <w:p>
      <w:pPr>
        <w:pStyle w:val="Normal"/>
        <w:spacing w:before="120" w:after="0"/>
        <w:ind w:firstLine="720"/>
        <w:jc w:val="both"/>
        <w:rPr>
          <w:bCs/>
          <w:color w:val="000000"/>
          <w:lang w:val="en-US"/>
        </w:rPr>
      </w:pPr>
      <w:r>
        <w:rPr>
          <w:bCs/>
          <w:color w:val="000000"/>
          <w:lang w:val="en-US"/>
        </w:rPr>
        <w:t>- Thể chế hóa chủ trương, quan điểm của Đảng về sắp xếp tổ chức, bộ máy Nhà nước theo hướng tinh gọn, hoạt động hiệu lực, hiệu quả, không tổ chức đơn vị hành chính cấp huyện; bảo đảm phù hợp với mô hình tổ chức thực tế của bộ máy nhà nước và các cơ quan điều tra, cơ quan được giao nhiệm vụ tiến hành một số hoạt động điều tra hiện nay.</w:t>
      </w:r>
    </w:p>
    <w:p>
      <w:pPr>
        <w:pStyle w:val="Normal"/>
        <w:spacing w:before="120" w:after="0"/>
        <w:ind w:firstLine="720"/>
        <w:jc w:val="both"/>
        <w:rPr>
          <w:bCs/>
          <w:color w:val="000000"/>
          <w:lang w:val="en-US"/>
        </w:rPr>
      </w:pPr>
      <w:r>
        <w:rPr>
          <w:bCs/>
          <w:color w:val="000000"/>
          <w:lang w:val="en-US"/>
        </w:rPr>
        <w:t>- Kiện toàn hệ thống cơ quan điều tra theo hướng tinh, gọn, chuyên nghiệp, chất lượng, hiệu lực, hiệu quả, đáp ứng yêu cầu, nhiệm vụ được giao theo chỉ đạo tại Nghị quyết số 27-NQ/TW ngày 09/11/2022 của Ban Chấp hành Trung ương về tiếp tục xây dựng và hoàn thiện Nhà nước pháp quyền trong giai đoạn mới; xây dựng chế định tố tụng tư pháp lấy xét xử làm trung tâm, khắc phục tình trạng cồng kềnh, chồng chéo, nhiều đầu mối trong hệ thống cơ quan điều tra; đồng bộ về tổ chức bộ máy, đồng thời phân định rõ ràng các chức năng điều tra, truy tố và xét xử của cơ quan điều tra, Viện kiểm sát nhân dân, Tòa án nhân dân.</w:t>
      </w:r>
    </w:p>
    <w:p>
      <w:pPr>
        <w:pStyle w:val="Normal"/>
        <w:spacing w:before="120" w:after="0"/>
        <w:ind w:firstLine="720"/>
        <w:jc w:val="both"/>
        <w:rPr>
          <w:bCs/>
          <w:color w:val="000000"/>
          <w:spacing w:val="4"/>
          <w:lang w:val="en-US"/>
        </w:rPr>
      </w:pPr>
      <w:r>
        <w:rPr>
          <w:bCs/>
          <w:color w:val="000000"/>
          <w:spacing w:val="4"/>
          <w:lang w:val="en-US"/>
        </w:rPr>
        <w:t>- Phân định rành mạch thẩm quyền của các cơ quan điều tra trong hệ thống cơ quan điều tra để khắc phục tình trạng chồng chéo giữa các cơ quan; đồng thời, bảo đảm tính thông suốt, trong quá trình điều tra vụ án hình sự, cải cách thủ tục tố tụng hình sự, hạn chế tình trạng phải chuyển, tách vụ án hình sự và phát sinh thủ tục, chi phí tố tụng hình sự.</w:t>
      </w:r>
    </w:p>
    <w:p>
      <w:pPr>
        <w:pStyle w:val="Normal"/>
        <w:spacing w:before="120" w:after="0"/>
        <w:ind w:firstLine="720"/>
        <w:jc w:val="both"/>
        <w:rPr>
          <w:bCs/>
          <w:color w:val="000000"/>
          <w:lang w:val="en-US"/>
        </w:rPr>
      </w:pPr>
      <w:r>
        <w:rPr>
          <w:bCs/>
          <w:color w:val="000000"/>
          <w:lang w:val="en-US"/>
        </w:rPr>
        <w:t>- Hoàn thiện quy định về nhiệm vụ, quyền hạn, thẩm quyền điều tra của các cơ quan được giao nhiệm vụ tiến hành một số hoạt động điều tra bảo đảm phù hợp với tình hình thực tiễn và phù hợp với chức năng, nhiệm vụ, năng lực của các cơ quan này trên thực tế.</w:t>
      </w:r>
    </w:p>
    <w:p>
      <w:pPr>
        <w:pStyle w:val="Normal"/>
        <w:spacing w:before="120" w:after="0"/>
        <w:ind w:firstLine="720"/>
        <w:jc w:val="both"/>
        <w:rPr>
          <w:bCs/>
          <w:color w:val="000000"/>
          <w:lang w:val="en-US"/>
        </w:rPr>
      </w:pPr>
      <w:r>
        <w:rPr>
          <w:bCs/>
          <w:color w:val="000000"/>
          <w:lang w:val="en-US"/>
        </w:rPr>
        <w:t>- Nâng cao hiệu lực, hiệu quả, tháo gỡ các khó khăn, vướng mắc trong thực tiễn, bảo đảm công tác điều tra được tiến hành nhanh chóng, kịp thời, chính xác, khách quan, toàn diện, không bỏ lọt tội phạm, không làm oan người vô tội.</w:t>
      </w:r>
    </w:p>
    <w:p>
      <w:pPr>
        <w:pStyle w:val="Normal"/>
        <w:widowControl w:val="false"/>
        <w:tabs>
          <w:tab w:val="clear" w:pos="720"/>
          <w:tab w:val="right" w:pos="7920" w:leader="none"/>
        </w:tabs>
        <w:spacing w:before="120" w:after="0"/>
        <w:ind w:firstLine="706"/>
        <w:jc w:val="both"/>
        <w:rPr>
          <w:rStyle w:val="Strong"/>
          <w:bCs w:val="false"/>
        </w:rPr>
      </w:pPr>
      <w:r>
        <w:rPr>
          <w:rStyle w:val="Strong"/>
          <w:bCs w:val="false"/>
        </w:rPr>
        <w:t>2. Quan điểm chỉ đạo xây dựng chính sách</w:t>
      </w:r>
    </w:p>
    <w:p>
      <w:pPr>
        <w:pStyle w:val="Normal"/>
        <w:widowControl w:val="false"/>
        <w:tabs>
          <w:tab w:val="clear" w:pos="720"/>
          <w:tab w:val="right" w:pos="7920" w:leader="none"/>
        </w:tabs>
        <w:spacing w:before="120" w:after="0"/>
        <w:ind w:firstLine="706"/>
        <w:jc w:val="both"/>
        <w:rPr/>
      </w:pPr>
      <w:r>
        <w:rPr/>
        <w:t>Việc xây dựng chính sách c</w:t>
      </w:r>
      <w:r>
        <w:rPr>
          <w:lang w:val="vi-VN"/>
        </w:rPr>
        <w:t xml:space="preserve">ủa </w:t>
      </w:r>
      <w:r>
        <w:rPr>
          <w:lang w:val="en-US"/>
        </w:rPr>
        <w:t xml:space="preserve">dự án </w:t>
      </w:r>
      <w:r>
        <w:rPr>
          <w:lang w:val="vi-VN"/>
        </w:rPr>
        <w:t>Luật Tổ chức cơ quan điều tra hình sự (sửa đổi)</w:t>
      </w:r>
      <w:r>
        <w:rPr/>
        <w:t xml:space="preserve"> được thực hiện trên cơ sở các quan điểm chỉ đạo sau đây:</w:t>
      </w:r>
    </w:p>
    <w:p>
      <w:pPr>
        <w:pStyle w:val="Normal"/>
        <w:widowControl w:val="false"/>
        <w:tabs>
          <w:tab w:val="clear" w:pos="720"/>
          <w:tab w:val="right" w:pos="7920" w:leader="dot"/>
        </w:tabs>
        <w:spacing w:before="120" w:after="0"/>
        <w:ind w:firstLine="720"/>
        <w:jc w:val="both"/>
        <w:rPr>
          <w:lang w:val="en-US" w:eastAsia="x-none"/>
        </w:rPr>
      </w:pPr>
      <w:r>
        <w:rPr>
          <w:i/>
        </w:rPr>
        <w:t xml:space="preserve"> </w:t>
      </w:r>
      <w:r>
        <w:rPr>
          <w:i/>
          <w:spacing w:val="-6"/>
          <w:lang w:val="en-US" w:eastAsia="x-none"/>
        </w:rPr>
        <w:t>Thứ nhất</w:t>
      </w:r>
      <w:r>
        <w:rPr>
          <w:spacing w:val="-6"/>
          <w:lang w:val="en-US" w:eastAsia="x-none"/>
        </w:rPr>
        <w:t>, t</w:t>
      </w:r>
      <w:r>
        <w:rPr>
          <w:lang w:val="en-US" w:eastAsia="x-none"/>
        </w:rPr>
        <w:t xml:space="preserve">hể chế hoá quan điểm của Đảng và Nhà nước ta về hoàn thiện sắp xếp, tinh gọn tổ chức bộ máy Cơ quan điều tra, bảo đảm đồng bộ với quá trình xây dựng và hoàn thiện nhà nước pháp quyền xã hội chủ nghĩa Việt Nam trong giai đoạn mới. </w:t>
      </w:r>
    </w:p>
    <w:p>
      <w:pPr>
        <w:pStyle w:val="Normal"/>
        <w:widowControl w:val="false"/>
        <w:tabs>
          <w:tab w:val="clear" w:pos="720"/>
          <w:tab w:val="right" w:pos="7920" w:leader="dot"/>
        </w:tabs>
        <w:spacing w:before="120" w:after="0"/>
        <w:ind w:firstLine="720"/>
        <w:jc w:val="both"/>
        <w:rPr>
          <w:lang w:val="en-US" w:eastAsia="x-none"/>
        </w:rPr>
      </w:pPr>
      <w:r>
        <w:rPr>
          <w:i/>
          <w:lang w:val="en-US" w:eastAsia="x-none"/>
        </w:rPr>
        <w:t>Thứ hai,</w:t>
      </w:r>
      <w:r>
        <w:rPr>
          <w:lang w:val="en-US" w:eastAsia="x-none"/>
        </w:rPr>
        <w:t xml:space="preserve"> tiếp tục cụ thể hóa các quy định của Hiến pháp năm 2013 về quyền con người, quyền công dân, phù hợp với các điều ước quốc tế mà nước Cộng hòa xã hội chủ nghĩa Việt Nam là thành viên, đảm bảo tính đồng bộ, thống nhất của hệ thống pháp luật. </w:t>
      </w:r>
    </w:p>
    <w:p>
      <w:pPr>
        <w:pStyle w:val="Normal"/>
        <w:widowControl w:val="false"/>
        <w:tabs>
          <w:tab w:val="clear" w:pos="720"/>
          <w:tab w:val="right" w:pos="7920" w:leader="dot"/>
        </w:tabs>
        <w:spacing w:before="120" w:after="0"/>
        <w:ind w:firstLine="720"/>
        <w:jc w:val="both"/>
        <w:rPr>
          <w:lang w:val="en-US" w:eastAsia="x-none"/>
        </w:rPr>
      </w:pPr>
      <w:r>
        <w:rPr>
          <w:i/>
          <w:lang w:val="en-US" w:eastAsia="x-none"/>
        </w:rPr>
        <w:t>Thứ ba,</w:t>
      </w:r>
      <w:r>
        <w:rPr>
          <w:lang w:val="en-US" w:eastAsia="x-none"/>
        </w:rPr>
        <w:t xml:space="preserve"> kế thừa các quy định còn phù hợp, khắc phục những khó khăn, vướng mắc của </w:t>
      </w:r>
      <w:r>
        <w:rPr>
          <w:rFonts w:eastAsia="Courier New"/>
          <w:lang w:val="en-US" w:eastAsia="vi-VN"/>
        </w:rPr>
        <w:t>Luật Tổ chức cơ quan điều tra hình sự</w:t>
      </w:r>
      <w:r>
        <w:rPr>
          <w:lang w:val="en-US" w:eastAsia="x-none"/>
        </w:rPr>
        <w:t xml:space="preserve"> năm 2015 (sửa đổi, bổ sung năm 2021), </w:t>
      </w:r>
      <w:r>
        <w:rPr>
          <w:rFonts w:eastAsia="Courier New"/>
          <w:lang w:val="en-US" w:eastAsia="vi-VN"/>
        </w:rPr>
        <w:t>đáp ứng yêu cầu thực tiễn công tác điều tra hình sự trong tình hình mới</w:t>
      </w:r>
      <w:r>
        <w:rPr>
          <w:lang w:val="en-US" w:eastAsia="x-none"/>
        </w:rPr>
        <w:t>; tham khảo có chọn lọc kinh nghiệm pháp luật quốc tế và thực tiễn tổ chức cơ quan điều tra hình sự của một số quốc gia trên thế giới bảo đảm phù hợp với điều kiện thực tế của Việt Nam.</w:t>
      </w:r>
    </w:p>
    <w:p>
      <w:pPr>
        <w:pStyle w:val="Normal"/>
        <w:widowControl w:val="false"/>
        <w:tabs>
          <w:tab w:val="clear" w:pos="720"/>
          <w:tab w:val="right" w:pos="7920" w:leader="dot"/>
        </w:tabs>
        <w:spacing w:before="120" w:after="0"/>
        <w:ind w:firstLine="720"/>
        <w:jc w:val="both"/>
        <w:rPr>
          <w:lang w:val="vi-VN" w:eastAsia="x-none"/>
        </w:rPr>
      </w:pPr>
      <w:r>
        <w:rPr>
          <w:i/>
          <w:lang w:val="en-US" w:eastAsia="x-none"/>
        </w:rPr>
        <w:t>Thứ tư,</w:t>
      </w:r>
      <w:r>
        <w:rPr>
          <w:lang w:val="en-US" w:eastAsia="x-none"/>
        </w:rPr>
        <w:t xml:space="preserve"> bảo đảm đồng bộ, thống nhất của Luật trong hệ thống pháp luật; phù hợp với các điều ước quốc tế mà nước Cộng hòa xã hội chủ nghĩa Việt Nam là thành viên.</w:t>
      </w:r>
    </w:p>
    <w:p>
      <w:pPr>
        <w:pStyle w:val="Normal"/>
        <w:widowControl w:val="false"/>
        <w:tabs>
          <w:tab w:val="clear" w:pos="720"/>
          <w:tab w:val="right" w:pos="7920" w:leader="none"/>
        </w:tabs>
        <w:spacing w:before="120" w:after="0"/>
        <w:ind w:firstLine="706"/>
        <w:jc w:val="both"/>
        <w:rPr/>
      </w:pPr>
      <w:r>
        <w:rPr>
          <w:b/>
          <w:bCs/>
        </w:rPr>
        <w:t>III.</w:t>
      </w:r>
      <w:r>
        <w:rPr/>
        <w:t xml:space="preserve"> </w:t>
      </w:r>
      <w:r>
        <w:rPr>
          <w:b/>
          <w:bCs/>
        </w:rPr>
        <w:t xml:space="preserve">PHẠM VI, ĐỐI TƯỢNG ÁP DỤNG CỦA CHÍNH SÁCH </w:t>
      </w:r>
    </w:p>
    <w:p>
      <w:pPr>
        <w:pStyle w:val="Normal"/>
        <w:widowControl w:val="false"/>
        <w:spacing w:before="120" w:after="0"/>
        <w:ind w:firstLine="709"/>
        <w:jc w:val="both"/>
        <w:rPr>
          <w:lang w:val="vi-VN"/>
        </w:rPr>
      </w:pPr>
      <w:r>
        <w:rPr>
          <w:b/>
          <w:bCs/>
        </w:rPr>
        <w:t>1. Phạm vi điều chỉnh</w:t>
      </w:r>
      <w:r>
        <w:rPr>
          <w:b/>
          <w:bCs/>
          <w:lang w:val="vi-VN"/>
        </w:rPr>
        <w:t xml:space="preserve"> </w:t>
      </w:r>
    </w:p>
    <w:p>
      <w:pPr>
        <w:pStyle w:val="Normal"/>
        <w:widowControl w:val="false"/>
        <w:spacing w:before="120" w:after="0"/>
        <w:ind w:firstLine="709"/>
        <w:jc w:val="both"/>
        <w:rPr>
          <w:lang w:val="nl-NL"/>
        </w:rPr>
      </w:pPr>
      <w:r>
        <w:rPr>
          <w:lang w:val="vi-VN"/>
        </w:rPr>
        <w:t xml:space="preserve"> </w:t>
      </w:r>
      <w:r>
        <w:rPr/>
        <w:t xml:space="preserve">Các chính sách của dự án Luật Tổ chức cơ quan điều tra hình sự (sửa đổi) quy định </w:t>
      </w:r>
      <w:r>
        <w:rPr>
          <w:lang w:val="en-US"/>
        </w:rPr>
        <w:t>về nguyên tắc tổ chức điều tra hình sự; tổ chức bộ máy, nhiệm vụ, quyền hạn của Cơ quan điều tra; nhiệm vụ, quyền hạn của cơ quan được giao nhiệm vụ tiến hành một số hoạt động điều tra; Điều tra viên và các chức danh khác trong điều tra hình sự; quan hệ phân công, phối hợp và kiểm soát trong hoạt động điều tra hình sự; bảo đảm điều kiện cho hoạt động điều tra hình sự và trách nhiệm của cơ quan, tổ chức, cá nhân có liên quan.</w:t>
      </w:r>
    </w:p>
    <w:p>
      <w:pPr>
        <w:pStyle w:val="Normal"/>
        <w:widowControl w:val="false"/>
        <w:spacing w:before="120" w:after="0"/>
        <w:ind w:firstLine="709"/>
        <w:jc w:val="both"/>
        <w:rPr>
          <w:b/>
        </w:rPr>
      </w:pPr>
      <w:r>
        <w:rPr>
          <w:b/>
        </w:rPr>
        <w:t>2</w:t>
      </w:r>
      <w:r>
        <w:rPr>
          <w:b/>
          <w:lang w:val="vi-VN"/>
        </w:rPr>
        <w:t>.</w:t>
      </w:r>
      <w:r>
        <w:rPr>
          <w:b/>
        </w:rPr>
        <w:t xml:space="preserve"> Đối tượng áp dụng</w:t>
      </w:r>
    </w:p>
    <w:p>
      <w:pPr>
        <w:pStyle w:val="Normal"/>
        <w:widowControl w:val="false"/>
        <w:spacing w:before="120" w:after="0"/>
        <w:ind w:firstLine="709"/>
        <w:jc w:val="both"/>
        <w:rPr/>
      </w:pPr>
      <w:r>
        <w:rPr/>
        <w:t>Các chính sách của dự án Luật Tổ chức cơ quan điều tra hình sự (sửa đổi) được áp dụng đối với các cơ quan, tổ chức, cá nhân có liên quan, cụ thể gồm:</w:t>
      </w:r>
    </w:p>
    <w:p>
      <w:pPr>
        <w:pStyle w:val="Normal"/>
        <w:widowControl w:val="false"/>
        <w:spacing w:before="120" w:after="0"/>
        <w:ind w:firstLine="720"/>
        <w:jc w:val="both"/>
        <w:rPr>
          <w:lang w:val="en-US"/>
        </w:rPr>
      </w:pPr>
      <w:r>
        <w:rPr>
          <w:lang w:val="en-US"/>
        </w:rPr>
        <w:t>- Cơ quan điều tra, cơ quan được giao nhiệm vụ tiến hành một số hoạt động điều tra.</w:t>
      </w:r>
    </w:p>
    <w:p>
      <w:pPr>
        <w:pStyle w:val="Normal"/>
        <w:widowControl w:val="false"/>
        <w:spacing w:before="120" w:after="0"/>
        <w:ind w:firstLine="720"/>
        <w:jc w:val="both"/>
        <w:rPr>
          <w:lang w:val="en-US"/>
        </w:rPr>
      </w:pPr>
      <w:r>
        <w:rPr>
          <w:lang w:val="en-US"/>
        </w:rPr>
        <w:t>- Thủ trưởng, Phó Thủ trưởng, Điều tra viên, Cán bộ điều tra của Cơ quan điều tra; cấp trưởng, cấp phó và cán bộ điều tra của cơ quan được giao nhiệm vụ tiến hành một số hoạt động điều tra.</w:t>
      </w:r>
    </w:p>
    <w:p>
      <w:pPr>
        <w:pStyle w:val="Normal"/>
        <w:widowControl w:val="false"/>
        <w:spacing w:before="120" w:after="0"/>
        <w:ind w:firstLine="720"/>
        <w:jc w:val="both"/>
        <w:rPr>
          <w:b/>
          <w:spacing w:val="4"/>
          <w:lang w:val="en-US"/>
        </w:rPr>
      </w:pPr>
      <w:r>
        <w:rPr>
          <w:lang w:val="en-US"/>
        </w:rPr>
        <w:t>- Cơ quan, tổ chức, cá nhân có liên quan.</w:t>
      </w:r>
      <w:r>
        <w:rPr>
          <w:b/>
          <w:spacing w:val="4"/>
          <w:lang w:val="en-US"/>
        </w:rPr>
        <w:t xml:space="preserve"> </w:t>
      </w:r>
    </w:p>
    <w:p>
      <w:pPr>
        <w:pStyle w:val="Normal"/>
        <w:widowControl w:val="false"/>
        <w:spacing w:before="120" w:after="0"/>
        <w:ind w:firstLine="709"/>
        <w:jc w:val="both"/>
        <w:rPr/>
      </w:pPr>
      <w:r>
        <w:rPr>
          <w:b/>
          <w:bCs/>
        </w:rPr>
        <w:t xml:space="preserve">IV. QUÁ TRÌNH XÂY DỰNG CHÍNH SÁCH </w:t>
      </w:r>
    </w:p>
    <w:p>
      <w:pPr>
        <w:pStyle w:val="Normal"/>
        <w:widowControl w:val="false"/>
        <w:spacing w:before="120" w:after="0"/>
        <w:ind w:firstLine="709"/>
        <w:jc w:val="both"/>
        <w:rPr>
          <w:spacing w:val="-10"/>
        </w:rPr>
      </w:pPr>
      <w:r>
        <w:rPr>
          <w:spacing w:val="-10"/>
        </w:rPr>
        <w:t>Thực hiện phân công của Chính phủ, Bộ Công an đã thực hiện các trình tự, thủ tục theo quy định của Luật Ban hành văn bản quy phạm pháp luật, cụ thể như sau:</w:t>
      </w:r>
    </w:p>
    <w:p>
      <w:pPr>
        <w:pStyle w:val="Normal"/>
        <w:widowControl w:val="false"/>
        <w:spacing w:before="120" w:after="0"/>
        <w:ind w:firstLine="709"/>
        <w:jc w:val="both"/>
        <w:rPr/>
      </w:pPr>
      <w:r>
        <w:rPr>
          <w:b/>
          <w:bCs/>
        </w:rPr>
        <w:t>1.</w:t>
      </w:r>
      <w:r>
        <w:rPr/>
        <w:t xml:space="preserve"> Phối hợp với các bộ, ngành, địa phương tiến hành tổng kết thi hành Luật Tổ chức cơ quan điều tra hình sự sam 2015 (sửa đổi, bổ sung năm 2021).</w:t>
      </w:r>
    </w:p>
    <w:p>
      <w:pPr>
        <w:pStyle w:val="Normal"/>
        <w:widowControl w:val="false"/>
        <w:spacing w:before="120" w:after="0"/>
        <w:ind w:firstLine="709"/>
        <w:jc w:val="both"/>
        <w:rPr/>
      </w:pPr>
      <w:r>
        <w:rPr>
          <w:b/>
          <w:bCs/>
        </w:rPr>
        <w:t>2.</w:t>
      </w:r>
      <w:r>
        <w:rPr/>
        <w:t xml:space="preserve"> Xây dựng Hồ sơ chính sách theo quy định của Luật Ban hành văn bản quy phạm pháp luật và các văn bản quy định chi tiết thi hành Luật; tổ chức tham vấn chính sách; lấy ý kiến của các bộ, ngành, địa phương, cơ quan có liên quan, các chuyên gia, nhà khoa học đối với dự thảo Hồ sơ chính sách dự án Luật.</w:t>
      </w:r>
    </w:p>
    <w:p>
      <w:pPr>
        <w:pStyle w:val="Normal"/>
        <w:widowControl w:val="false"/>
        <w:spacing w:before="120" w:after="0"/>
        <w:ind w:firstLine="709"/>
        <w:jc w:val="both"/>
        <w:rPr/>
      </w:pPr>
      <w:r>
        <w:rPr>
          <w:b/>
          <w:bCs/>
        </w:rPr>
        <w:t>3.</w:t>
      </w:r>
      <w:r>
        <w:rPr/>
        <w:t xml:space="preserve"> Trên cơ sở các ý kiến tham gia, Bộ Công an đã nghiên cứu, tiếp thu, giải trình, hoàn thiện dự thảo Hồ sơ chính sách dự án Luật Tổ chức cơ quan điều tra hình sự (sửa đổi) và gửi Bộ Tư pháp để thẩm định. </w:t>
      </w:r>
    </w:p>
    <w:p>
      <w:pPr>
        <w:pStyle w:val="Normal"/>
        <w:widowControl w:val="false"/>
        <w:spacing w:before="120" w:after="0"/>
        <w:ind w:firstLine="709"/>
        <w:jc w:val="both"/>
        <w:rPr>
          <w:spacing w:val="-8"/>
        </w:rPr>
      </w:pPr>
      <w:r>
        <w:rPr>
          <w:b/>
          <w:bCs/>
          <w:spacing w:val="-8"/>
        </w:rPr>
        <w:t>4.</w:t>
      </w:r>
      <w:r>
        <w:rPr>
          <w:spacing w:val="-8"/>
        </w:rPr>
        <w:t xml:space="preserve"> Ngày ……, Bộ Tư pháp đã tổ chức cuộc họp thẩm định đối với Hồ sơ chính sách dự án Luật Tổ chức cơ quan điều tra hình sự (sửa đổi); ngày …, Bộ Tư pháp đã có Báo cáo số …./BCTĐ-BTP thẩm định đối với Hồ sự chính sách dự án Luật.</w:t>
      </w:r>
    </w:p>
    <w:p>
      <w:pPr>
        <w:pStyle w:val="Normal"/>
        <w:widowControl w:val="false"/>
        <w:spacing w:before="120" w:after="0"/>
        <w:ind w:firstLine="709"/>
        <w:jc w:val="both"/>
        <w:rPr/>
      </w:pPr>
      <w:r>
        <w:rPr>
          <w:b/>
          <w:bCs/>
        </w:rPr>
        <w:t xml:space="preserve">5. </w:t>
      </w:r>
      <w:r>
        <w:rPr/>
        <w:t>Trên cơ sở ý kiến thẩm định của Bộ Tư pháp, Bộ Công an đã hoàn thiện Hồ sơ chính sách dự án Luật trình Chính phủ.</w:t>
      </w:r>
    </w:p>
    <w:p>
      <w:pPr>
        <w:pStyle w:val="Normal"/>
        <w:widowControl w:val="false"/>
        <w:spacing w:before="120" w:after="0"/>
        <w:ind w:firstLine="709"/>
        <w:jc w:val="both"/>
        <w:rPr/>
      </w:pPr>
      <w:r>
        <w:rPr>
          <w:b/>
          <w:bCs/>
        </w:rPr>
        <w:t>V. MỤC TIÊU, NỘI DUNG CỦA CHÍNH SÁCH</w:t>
      </w:r>
    </w:p>
    <w:p>
      <w:pPr>
        <w:pStyle w:val="Normal"/>
        <w:tabs>
          <w:tab w:val="clear" w:pos="720"/>
          <w:tab w:val="right" w:pos="7920" w:leader="dot"/>
        </w:tabs>
        <w:spacing w:before="120" w:after="0"/>
        <w:ind w:firstLine="720"/>
        <w:jc w:val="both"/>
        <w:rPr>
          <w:rFonts w:eastAsia="Courier New"/>
          <w:b/>
          <w:color w:val="000000"/>
          <w:lang w:val="en-US" w:eastAsia="vi-VN"/>
        </w:rPr>
      </w:pPr>
      <w:r>
        <w:rPr>
          <w:b/>
          <w:bCs/>
        </w:rPr>
        <w:t>1. Chính sách 1:</w:t>
      </w:r>
      <w:r>
        <w:rPr>
          <w:rFonts w:eastAsia="Helvetica Neue"/>
          <w:b/>
          <w:lang w:val="en-US"/>
        </w:rPr>
        <w:t xml:space="preserve"> </w:t>
      </w:r>
      <w:r>
        <w:rPr>
          <w:rFonts w:eastAsia="Courier New"/>
          <w:b/>
          <w:color w:val="000000"/>
          <w:lang w:val="en-US" w:eastAsia="vi-VN"/>
        </w:rPr>
        <w:t>Hoàn thiện mô hình tổ chức Cơ quan điều tra</w:t>
      </w:r>
    </w:p>
    <w:p>
      <w:pPr>
        <w:pStyle w:val="Normal"/>
        <w:tabs>
          <w:tab w:val="clear" w:pos="720"/>
          <w:tab w:val="right" w:pos="7920" w:leader="dot"/>
        </w:tabs>
        <w:spacing w:before="120" w:after="0"/>
        <w:ind w:firstLine="720"/>
        <w:jc w:val="both"/>
        <w:rPr/>
      </w:pPr>
      <w:r>
        <w:rPr>
          <w:b/>
          <w:bCs/>
          <w:i/>
          <w:iCs/>
        </w:rPr>
        <w:t>1.1. Mục tiêu của chính sách</w:t>
      </w:r>
    </w:p>
    <w:p>
      <w:pPr>
        <w:pStyle w:val="Normal"/>
        <w:widowControl w:val="false"/>
        <w:spacing w:before="120" w:after="0"/>
        <w:ind w:firstLine="720"/>
        <w:jc w:val="both"/>
        <w:rPr>
          <w:rFonts w:eastAsia="Courier New"/>
          <w:color w:val="000000"/>
          <w:lang w:val="vi-VN" w:eastAsia="vi-VN"/>
        </w:rPr>
      </w:pPr>
      <w:r>
        <w:rPr>
          <w:rFonts w:eastAsia="Courier New"/>
          <w:color w:val="000000"/>
          <w:lang w:val="vi-VN" w:eastAsia="vi-VN"/>
        </w:rPr>
        <w:t>Nghiên cứu, hoàn thiện quy định về hệ thống tổ chức cơ quan điều tra bảo đảm tinh, gọn, khoa học phù hợp với mô hình tổ chức thực tế của bộ máy nhà nước; bảo đảm chất lượng, hiệu lực, hiệu quả, đáp ứng yêu cầu của thực tiễn công tác đấu tranh phòng, chống tội phạm.</w:t>
      </w:r>
    </w:p>
    <w:p>
      <w:pPr>
        <w:pStyle w:val="Normal"/>
        <w:spacing w:before="120" w:after="0"/>
        <w:ind w:firstLine="720"/>
        <w:jc w:val="both"/>
        <w:rPr/>
      </w:pPr>
      <w:r>
        <w:rPr>
          <w:b/>
          <w:bCs/>
          <w:i/>
          <w:iCs/>
        </w:rPr>
        <w:t>1.2. Nội dung của chính sách</w:t>
      </w:r>
    </w:p>
    <w:p>
      <w:pPr>
        <w:pStyle w:val="Normal"/>
        <w:tabs>
          <w:tab w:val="clear" w:pos="720"/>
          <w:tab w:val="right" w:pos="7920" w:leader="dot"/>
        </w:tabs>
        <w:spacing w:before="120" w:after="0"/>
        <w:ind w:firstLine="720"/>
        <w:jc w:val="both"/>
        <w:rPr>
          <w:color w:val="000000"/>
          <w:lang w:val="en-US"/>
        </w:rPr>
      </w:pPr>
      <w:r>
        <w:rPr>
          <w:i/>
          <w:iCs/>
        </w:rPr>
        <w:t xml:space="preserve">- </w:t>
      </w:r>
      <w:r>
        <w:rPr>
          <w:color w:val="000000"/>
          <w:lang w:val="en-US"/>
        </w:rPr>
        <w:t>Giải pháp 1:</w:t>
      </w:r>
      <w:r>
        <w:rPr>
          <w:b/>
          <w:color w:val="000000"/>
          <w:lang w:val="en-US"/>
        </w:rPr>
        <w:t xml:space="preserve"> </w:t>
      </w:r>
      <w:r>
        <w:rPr>
          <w:color w:val="000000"/>
          <w:lang w:val="en-US"/>
        </w:rPr>
        <w:t>Hoàn thiện tổ chức, bộ máy của Cơ quan điều tra phù hợp với tổ chức mới của Bộ Công an, Bộ Quốc phòng, đáp ứng yêu cầu tinh gọn, hiệu lực, hiệu quả; phân định rõ và bảo đảm tính độc lập, khách quan giữa hoạt động điều tra, hoạt động công tố. Luật quy định về mô hình tổ chức Cơ quan điều tra; giao Bộ trưởng Bộ Công an, Bộ trưởng Bộ Quốc phòng căn cứ vào cơ cấu tổ chức của Bộ Công an, Bộ Quốc phòng quy định chi tiết về tổ chức, bộ máy của từng Cơ quan điều tra.</w:t>
      </w:r>
    </w:p>
    <w:p>
      <w:pPr>
        <w:pStyle w:val="Normal"/>
        <w:tabs>
          <w:tab w:val="clear" w:pos="720"/>
          <w:tab w:val="right" w:pos="7920" w:leader="none"/>
        </w:tabs>
        <w:spacing w:before="120" w:after="0"/>
        <w:ind w:firstLine="720"/>
        <w:jc w:val="both"/>
        <w:rPr>
          <w:lang w:val="en-US"/>
        </w:rPr>
      </w:pPr>
      <w:r>
        <w:rPr/>
        <w:t>- Giải pháp 2:</w:t>
      </w:r>
      <w:r>
        <w:rPr>
          <w:i/>
          <w:lang w:val="en-US"/>
        </w:rPr>
        <w:t xml:space="preserve"> </w:t>
      </w:r>
      <w:r>
        <w:rPr>
          <w:lang w:val="en-US"/>
        </w:rPr>
        <w:t>Giữ nguyên theo quy định của Luật Tổ chức cơ quan điều tra hình sự hiện hành.</w:t>
      </w:r>
    </w:p>
    <w:p>
      <w:pPr>
        <w:pStyle w:val="Normal"/>
        <w:tabs>
          <w:tab w:val="clear" w:pos="720"/>
          <w:tab w:val="right" w:pos="7920" w:leader="none"/>
        </w:tabs>
        <w:spacing w:before="120" w:after="0"/>
        <w:ind w:firstLine="720"/>
        <w:jc w:val="both"/>
        <w:rPr/>
      </w:pPr>
      <w:r>
        <w:rPr>
          <w:b/>
          <w:bCs/>
          <w:i/>
          <w:iCs/>
        </w:rPr>
        <w:t>1.3. Các giải pháp thực hiện chính sách</w:t>
      </w:r>
    </w:p>
    <w:p>
      <w:pPr>
        <w:pStyle w:val="Normal"/>
        <w:tabs>
          <w:tab w:val="clear" w:pos="720"/>
          <w:tab w:val="right" w:pos="7920" w:leader="dot"/>
        </w:tabs>
        <w:spacing w:before="120" w:after="0"/>
        <w:ind w:firstLine="720"/>
        <w:jc w:val="both"/>
        <w:rPr>
          <w:i/>
          <w:color w:val="000000"/>
          <w:lang w:val="en-US"/>
        </w:rPr>
      </w:pPr>
      <w:r>
        <w:rPr>
          <w:rFonts w:ascii="Times New Roman Italic" w:hAnsi="Times New Roman Italic"/>
          <w:i/>
          <w:iCs/>
          <w:spacing w:val="2"/>
        </w:rPr>
        <w:t xml:space="preserve">a) </w:t>
      </w:r>
      <w:r>
        <w:rPr>
          <w:i/>
          <w:color w:val="000000"/>
          <w:lang w:val="en-US"/>
        </w:rPr>
        <w:t>Giải pháp 1:</w:t>
      </w:r>
      <w:r>
        <w:rPr>
          <w:b/>
          <w:i/>
          <w:color w:val="000000"/>
          <w:lang w:val="en-US"/>
        </w:rPr>
        <w:t xml:space="preserve"> </w:t>
      </w:r>
      <w:r>
        <w:rPr>
          <w:i/>
          <w:color w:val="000000"/>
          <w:lang w:val="en-US"/>
        </w:rPr>
        <w:t>Hoàn thiện tổ chức, bộ máy của Cơ quan điều tra phù hợp với tổ chức mới của Bộ Công an, Bộ Quốc phòng, đáp ứng yêu cầu tinh gọn, hiệu lực, hiệu quả; phân định rõ và bảo đảm tính độc lập, khách quan giữa hoạt động điều tra, hoạt động công tố. Luật quy định về mô hình tổ chức Cơ quan điều tra; giao Bộ trưởng Bộ Công an, Bộ trưởng Bộ Quốc phòng căn cứ vào cơ cấu tổ chức của Bộ Công an, Bộ Quốc phòng quy định chi tiết về tổ chức, bộ máy của từng Cơ quan điều tra</w:t>
      </w:r>
      <w:r>
        <w:rPr>
          <w:i/>
          <w:lang w:val="en-US"/>
        </w:rPr>
        <w:t xml:space="preserve">, </w:t>
      </w:r>
      <w:r>
        <w:rPr>
          <w:i/>
          <w:iCs/>
          <w:spacing w:val="2"/>
          <w:lang w:val="en-US"/>
        </w:rPr>
        <w:t xml:space="preserve">cụ thể như sau: </w:t>
      </w:r>
    </w:p>
    <w:p>
      <w:pPr>
        <w:pStyle w:val="Normal"/>
        <w:widowControl w:val="false"/>
        <w:spacing w:before="120" w:after="0"/>
        <w:ind w:firstLine="720"/>
        <w:jc w:val="both"/>
        <w:rPr>
          <w:rFonts w:eastAsia="Courier New"/>
          <w:color w:val="000000"/>
          <w:lang w:val="en-US" w:eastAsia="vi-VN"/>
        </w:rPr>
      </w:pPr>
      <w:r>
        <w:rPr>
          <w:rFonts w:eastAsia="Courier New"/>
          <w:color w:val="000000"/>
          <w:lang w:val="en-US" w:eastAsia="vi-VN"/>
        </w:rPr>
        <w:t>- Sửa đổi, bổ sung quy định có liên quan về tổ chức bộ máy của hệ thống Cơ quan điều tra của Công an nhân dân như sau:</w:t>
      </w:r>
    </w:p>
    <w:p>
      <w:pPr>
        <w:pStyle w:val="Normal"/>
        <w:widowControl w:val="false"/>
        <w:spacing w:before="120" w:after="0"/>
        <w:ind w:firstLine="720"/>
        <w:jc w:val="both"/>
        <w:rPr>
          <w:rFonts w:eastAsia="Courier New"/>
          <w:color w:val="000000"/>
          <w:lang w:val="en-US" w:eastAsia="vi-VN"/>
        </w:rPr>
      </w:pPr>
      <w:r>
        <w:rPr>
          <w:rFonts w:eastAsia="Courier New"/>
          <w:color w:val="000000"/>
          <w:lang w:val="en-US" w:eastAsia="vi-VN"/>
        </w:rPr>
        <w:t xml:space="preserve"> </w:t>
      </w:r>
      <w:r>
        <w:rPr>
          <w:rFonts w:eastAsia="Courier New"/>
          <w:color w:val="000000"/>
          <w:lang w:val="en-US" w:eastAsia="vi-VN"/>
        </w:rPr>
        <w:t>+ Bỏ Cơ quan Cảnh sát điều tra Công an cấp huyện phù hợp mô hình tổ chức bộ máy mới của Cơ quan điều tra của Công an nhân dân;</w:t>
      </w:r>
    </w:p>
    <w:p>
      <w:pPr>
        <w:pStyle w:val="Normal"/>
        <w:widowControl w:val="false"/>
        <w:spacing w:before="120" w:after="0"/>
        <w:ind w:firstLine="720"/>
        <w:jc w:val="both"/>
        <w:rPr>
          <w:rFonts w:eastAsia="Courier New"/>
          <w:color w:val="000000"/>
          <w:lang w:val="en-US" w:eastAsia="vi-VN"/>
        </w:rPr>
      </w:pPr>
      <w:r>
        <w:rPr>
          <w:rFonts w:eastAsia="Courier New"/>
          <w:color w:val="000000"/>
          <w:lang w:val="en-US" w:eastAsia="vi-VN"/>
        </w:rPr>
        <w:t>+ Bổ sung quy định giao Bộ trưởng Bộ Công an quy định chi tiết về tổ chức, bộ máy Cơ quan điều tra của Công an nhân dân trên cơ sở căn cứ vào cơ cấu tổ chức của Bộ Công an.</w:t>
      </w:r>
    </w:p>
    <w:p>
      <w:pPr>
        <w:pStyle w:val="Normal"/>
        <w:widowControl w:val="false"/>
        <w:spacing w:before="120" w:after="0"/>
        <w:ind w:firstLine="720"/>
        <w:jc w:val="both"/>
        <w:rPr>
          <w:rFonts w:eastAsia="Courier New"/>
          <w:color w:val="000000"/>
          <w:lang w:val="en-US" w:eastAsia="vi-VN"/>
        </w:rPr>
      </w:pPr>
      <w:r>
        <w:rPr>
          <w:rFonts w:eastAsia="Courier New"/>
          <w:color w:val="000000"/>
          <w:lang w:val="en-US" w:eastAsia="vi-VN"/>
        </w:rPr>
        <w:t>- Không quy định Cơ quan điều tra Viện kiểm sát nhân dân tối cao;</w:t>
      </w:r>
    </w:p>
    <w:p>
      <w:pPr>
        <w:pStyle w:val="Normal"/>
        <w:widowControl w:val="false"/>
        <w:spacing w:before="120" w:after="0"/>
        <w:ind w:firstLine="720"/>
        <w:jc w:val="both"/>
        <w:rPr>
          <w:rFonts w:eastAsia="Courier New"/>
          <w:color w:val="000000"/>
          <w:lang w:val="en-US" w:eastAsia="vi-VN"/>
        </w:rPr>
      </w:pPr>
      <w:r>
        <w:rPr>
          <w:rFonts w:eastAsia="Courier New"/>
          <w:color w:val="000000"/>
          <w:lang w:val="en-US" w:eastAsia="vi-VN"/>
        </w:rPr>
        <w:t>-  Bổ sung quy định giao Bộ trưởng Bộ Quốc phòng quy định chi tiết về tổ chức, bộ máy Cơ quan điều tra trong Quân đội nhân dân trên cơ sở căn cứ vào cơ cấu tổ chức của Bộ Quốc phòng.</w:t>
      </w:r>
    </w:p>
    <w:p>
      <w:pPr>
        <w:pStyle w:val="Normal"/>
        <w:spacing w:before="120" w:after="0"/>
        <w:ind w:firstLine="720"/>
        <w:jc w:val="both"/>
        <w:rPr>
          <w:i/>
          <w:lang w:val="en-US"/>
        </w:rPr>
      </w:pPr>
      <w:r>
        <w:rPr>
          <w:i/>
          <w:lang w:val="en-US"/>
        </w:rPr>
        <w:t>b)</w:t>
      </w:r>
      <w:r>
        <w:rPr>
          <w:lang w:val="en-US"/>
        </w:rPr>
        <w:t xml:space="preserve"> </w:t>
      </w:r>
      <w:r>
        <w:rPr>
          <w:i/>
          <w:lang w:val="en-US"/>
        </w:rPr>
        <w:t>Giải pháp 2:</w:t>
      </w:r>
      <w:r>
        <w:rPr>
          <w:b/>
          <w:i/>
          <w:lang w:val="en-US"/>
        </w:rPr>
        <w:t xml:space="preserve"> </w:t>
      </w:r>
      <w:r>
        <w:rPr>
          <w:i/>
          <w:lang w:val="en-US"/>
        </w:rPr>
        <w:t>Giữ nguyên theo quy định của Luật Tổ chức cơ quan điều tra hình sự hiện hành</w:t>
      </w:r>
    </w:p>
    <w:p>
      <w:pPr>
        <w:pStyle w:val="Normal"/>
        <w:tabs>
          <w:tab w:val="clear" w:pos="720"/>
          <w:tab w:val="right" w:pos="7920" w:leader="none"/>
        </w:tabs>
        <w:spacing w:before="120" w:after="0"/>
        <w:ind w:firstLine="720"/>
        <w:jc w:val="both"/>
        <w:rPr>
          <w:color w:val="000000"/>
          <w:lang w:val="vi-VN"/>
        </w:rPr>
      </w:pPr>
      <w:r>
        <w:rPr>
          <w:iCs/>
          <w:lang w:val="en-US"/>
        </w:rPr>
        <w:t>Không sửa đổi</w:t>
      </w:r>
      <w:r>
        <w:rPr>
          <w:color w:val="000000"/>
          <w:lang w:val="en-US"/>
        </w:rPr>
        <w:t xml:space="preserve"> mô hình tổ chức của các Cơ quan điều tra theo quy định của Luật Tổ chức cơ quan điều tra hình sự hiện hành.</w:t>
      </w:r>
    </w:p>
    <w:p>
      <w:pPr>
        <w:pStyle w:val="Normal"/>
        <w:tabs>
          <w:tab w:val="clear" w:pos="720"/>
          <w:tab w:val="right" w:pos="7920" w:leader="none"/>
        </w:tabs>
        <w:spacing w:before="120" w:after="0"/>
        <w:ind w:firstLine="720"/>
        <w:jc w:val="both"/>
        <w:rPr/>
      </w:pPr>
      <w:r>
        <w:rPr>
          <w:b/>
          <w:bCs/>
          <w:i/>
          <w:iCs/>
        </w:rPr>
        <w:t>1.4 Giải pháp tối ưu được lựa chọn và lý do lựa chọn</w:t>
      </w:r>
    </w:p>
    <w:p>
      <w:pPr>
        <w:pStyle w:val="Normal"/>
        <w:tabs>
          <w:tab w:val="clear" w:pos="720"/>
          <w:tab w:val="right" w:pos="7920" w:leader="dot"/>
        </w:tabs>
        <w:spacing w:before="120" w:after="0"/>
        <w:ind w:firstLine="720"/>
        <w:jc w:val="both"/>
        <w:rPr>
          <w:rFonts w:ascii="Cambria" w:hAnsi="Cambria" w:asciiTheme="minorHAnsi" w:hAnsiTheme="minorHAnsi"/>
          <w:b/>
          <w:bCs/>
          <w:spacing w:val="-4"/>
          <w:lang w:val="vi-VN"/>
        </w:rPr>
      </w:pPr>
      <w:r>
        <w:rPr>
          <w:rFonts w:eastAsia="Courier New"/>
          <w:color w:val="000000"/>
          <w:lang w:val="vi-VN" w:eastAsia="vi-VN"/>
        </w:rPr>
        <w:t>Trên cơ sở phân tích,</w:t>
      </w:r>
      <w:r>
        <w:rPr>
          <w:rFonts w:eastAsia="Courier New"/>
          <w:color w:val="000000"/>
          <w:lang w:val="en-US" w:eastAsia="vi-VN"/>
        </w:rPr>
        <w:t xml:space="preserve"> s</w:t>
      </w:r>
      <w:r>
        <w:rPr>
          <w:rFonts w:eastAsia="Courier New"/>
          <w:color w:val="000000"/>
          <w:lang w:val="vi-VN" w:eastAsia="vi-VN"/>
        </w:rPr>
        <w:t>o sánh</w:t>
      </w:r>
      <w:r>
        <w:rPr>
          <w:rFonts w:eastAsia="Courier New"/>
          <w:color w:val="000000"/>
          <w:lang w:val="en-US" w:eastAsia="vi-VN"/>
        </w:rPr>
        <w:t>, đánh giá tác động</w:t>
      </w:r>
      <w:r>
        <w:rPr>
          <w:rFonts w:eastAsia="Courier New"/>
          <w:color w:val="000000"/>
          <w:lang w:val="vi-VN" w:eastAsia="vi-VN"/>
        </w:rPr>
        <w:t xml:space="preserve"> </w:t>
      </w:r>
      <w:r>
        <w:rPr>
          <w:rFonts w:eastAsia="Courier New"/>
          <w:color w:val="000000"/>
          <w:lang w:val="en-US" w:eastAsia="vi-VN"/>
        </w:rPr>
        <w:t>c</w:t>
      </w:r>
      <w:r>
        <w:rPr>
          <w:rFonts w:eastAsia="Courier New"/>
          <w:color w:val="000000"/>
          <w:lang w:val="vi-VN" w:eastAsia="vi-VN"/>
        </w:rPr>
        <w:t xml:space="preserve">ủa các giải pháp, Bộ Công an đề nghị lựa chọn </w:t>
      </w:r>
      <w:r>
        <w:rPr>
          <w:rFonts w:eastAsia="Courier New"/>
          <w:color w:val="000000"/>
          <w:lang w:val="en-US" w:eastAsia="vi-VN"/>
        </w:rPr>
        <w:t>g</w:t>
      </w:r>
      <w:r>
        <w:rPr>
          <w:rFonts w:eastAsia="Courier New"/>
          <w:color w:val="000000"/>
          <w:lang w:val="vi-VN" w:eastAsia="vi-VN"/>
        </w:rPr>
        <w:t>iải pháp</w:t>
      </w:r>
      <w:r>
        <w:rPr>
          <w:rFonts w:eastAsia="Courier New"/>
          <w:color w:val="000000"/>
          <w:lang w:val="en-US" w:eastAsia="vi-VN"/>
        </w:rPr>
        <w:t xml:space="preserve"> 1 để tiến hành nghiên cứu, đề xuất </w:t>
      </w:r>
      <w:r>
        <w:rPr>
          <w:color w:val="000000"/>
          <w:lang w:val="en-US"/>
        </w:rPr>
        <w:t>sửa đổi, bổ sung quy định về mô hình tổ chức của Cơ quan điều tra.</w:t>
      </w:r>
      <w:r>
        <w:rPr>
          <w:rFonts w:eastAsia="Courier New"/>
          <w:color w:val="000000"/>
          <w:lang w:val="en-US" w:eastAsia="vi-VN"/>
        </w:rPr>
        <w:t xml:space="preserve"> Việc này sẽ giúp thể chế hóa đầy đủ, kịp thời chủ trương của Đảng trong công tác kiện toàn, sắp xếp bộ máy các cơ quan Nhà nước </w:t>
      </w:r>
      <w:r>
        <w:rPr>
          <w:bCs/>
          <w:iCs/>
          <w:color w:val="000000"/>
          <w:lang w:val="nl-NL" w:eastAsia="vi-VN"/>
        </w:rPr>
        <w:t>tinh gọn, hoạt động hiệu lực, hiệu quả; hoàn thiện</w:t>
      </w:r>
      <w:r>
        <w:rPr>
          <w:rFonts w:eastAsia="Courier New"/>
          <w:color w:val="000000"/>
          <w:sz w:val="24"/>
          <w:szCs w:val="24"/>
          <w:lang w:val="vi-VN" w:eastAsia="vi-VN"/>
        </w:rPr>
        <w:t xml:space="preserve"> </w:t>
      </w:r>
      <w:r>
        <w:rPr>
          <w:bCs/>
          <w:iCs/>
          <w:color w:val="000000"/>
          <w:lang w:val="nl-NL" w:eastAsia="vi-VN"/>
        </w:rPr>
        <w:t xml:space="preserve">tạo cơ sở pháp lý đầy đủ, thống nhất, vững chắc về tổ chức cơ quan điều tra hình sự; </w:t>
      </w:r>
      <w:r>
        <w:rPr>
          <w:color w:val="000000"/>
          <w:lang w:val="en-US"/>
        </w:rPr>
        <w:t xml:space="preserve">giúp bảo đảm sự phù hợp, linh hoạt giữa quy định của pháp luật với thực tiễn tổ chức, hoạt động của Cơ quan điều tra và Cơ quan được giao nhiệm vụ tiến hành một số hoạt động điều tra và bộ máy của các bộ, ngành, địa phương khi được tổ chức, sắp xếp lại theo hướng tinh gọn, hoạt động hiệu lực, hiệu quả </w:t>
      </w:r>
      <w:r>
        <w:rPr>
          <w:rFonts w:eastAsia="Courier New" w:cs="Courier New"/>
          <w:color w:val="000000"/>
          <w:spacing w:val="-2"/>
          <w:lang w:val="vi-VN" w:eastAsia="vi-VN"/>
        </w:rPr>
        <w:t>theo tinh thần chỉ đạo của Đảng tại Nghị quyết số 18-NQ/TW, Nghị quyết số 27-NQ/TW, quy định của Hiến pháp và nâng cao hiệu lực, hiệu quả trên thực tế</w:t>
      </w:r>
      <w:r>
        <w:rPr>
          <w:color w:val="000000"/>
          <w:lang w:val="en-US"/>
        </w:rPr>
        <w:t xml:space="preserve">. </w:t>
      </w:r>
    </w:p>
    <w:p>
      <w:pPr>
        <w:pStyle w:val="Normal"/>
        <w:spacing w:before="120" w:after="0"/>
        <w:ind w:firstLine="720"/>
        <w:jc w:val="both"/>
        <w:rPr>
          <w:b/>
          <w:color w:val="000000"/>
          <w:lang w:val="en-US"/>
        </w:rPr>
      </w:pPr>
      <w:r>
        <w:rPr>
          <w:rFonts w:ascii="Times New Roman Bold" w:hAnsi="Times New Roman Bold"/>
          <w:b/>
          <w:bCs/>
          <w:spacing w:val="-4"/>
        </w:rPr>
        <w:t>2. Chính sách 2:</w:t>
      </w:r>
      <w:r>
        <w:rPr>
          <w:rFonts w:eastAsia="Courier New"/>
          <w:b/>
          <w:color w:val="000000"/>
          <w:lang w:val="vi-VN" w:eastAsia="vi-VN"/>
        </w:rPr>
        <w:t xml:space="preserve"> </w:t>
      </w:r>
      <w:r>
        <w:rPr>
          <w:b/>
          <w:color w:val="000000"/>
          <w:lang w:val="en-US"/>
        </w:rPr>
        <w:t>Hoàn thiện quy định chung về thẩm quyền điều tra theo định hướng cải cách tư pháp của Đảng, nâng cao hiệu quả hoạt động của Cơ quan điều tra, Viện kiểm sát, Toà án, tránh tình trạng chia cắt trong hoạt động điều tra, truy tố, xét xử, tiết kiệm nguồn lực, giảm thời gian, thủ tục tố tụng, chi phí tố tụng</w:t>
      </w:r>
    </w:p>
    <w:p>
      <w:pPr>
        <w:pStyle w:val="Normal"/>
        <w:tabs>
          <w:tab w:val="clear" w:pos="720"/>
          <w:tab w:val="right" w:pos="7920" w:leader="dot"/>
        </w:tabs>
        <w:spacing w:before="120" w:after="0"/>
        <w:ind w:firstLine="720"/>
        <w:jc w:val="both"/>
        <w:rPr/>
      </w:pPr>
      <w:r>
        <w:rPr>
          <w:b/>
          <w:bCs/>
          <w:i/>
          <w:iCs/>
        </w:rPr>
        <w:t>2.1. Mục tiêu của chính sách</w:t>
      </w:r>
    </w:p>
    <w:p>
      <w:pPr>
        <w:pStyle w:val="Normal"/>
        <w:widowControl w:val="false"/>
        <w:spacing w:before="120" w:after="0"/>
        <w:ind w:firstLine="720"/>
        <w:jc w:val="both"/>
        <w:rPr>
          <w:color w:val="000000"/>
          <w:lang w:val="en-US"/>
        </w:rPr>
      </w:pPr>
      <w:r>
        <w:rPr>
          <w:color w:val="000000"/>
          <w:lang w:val="en-US"/>
        </w:rPr>
        <w:t>Nhằm giải quyết được các khó khăn, vướng mắc trong các quy định của pháp luật về thẩm quyền điều tra trong hệ thống cơ quan điều tra; bảo đảm tính thông suốt, kịp thời, hiệu quả trong hoạt động tố tụng hình sự; xác định rõ chức năng, nhiệm vụ, quyền hạn và thẩm quyền điều tra của mỗi cơ quan điều tra; hạn chế phát chi phí, thời gian thực hiện các hoạt động điều tra trong tố tụng hình sự và tình trạng chuyển, tách vụ án hình sự làm ảnh hưởng đến việc xác định sự thật khách quan, bản chất của vụ án.</w:t>
      </w:r>
    </w:p>
    <w:p>
      <w:pPr>
        <w:pStyle w:val="Normal"/>
        <w:widowControl w:val="false"/>
        <w:tabs>
          <w:tab w:val="clear" w:pos="720"/>
          <w:tab w:val="left" w:pos="1080" w:leader="none"/>
        </w:tabs>
        <w:spacing w:before="120" w:after="0"/>
        <w:ind w:firstLine="720"/>
        <w:jc w:val="both"/>
        <w:rPr/>
      </w:pPr>
      <w:r>
        <w:rPr>
          <w:b/>
          <w:bCs/>
          <w:i/>
          <w:iCs/>
        </w:rPr>
        <w:t>2.2. Nội dung của chính sách</w:t>
        <w:tab/>
      </w:r>
    </w:p>
    <w:p>
      <w:pPr>
        <w:pStyle w:val="Normal"/>
        <w:widowControl w:val="false"/>
        <w:tabs>
          <w:tab w:val="clear" w:pos="720"/>
          <w:tab w:val="right" w:pos="7920" w:leader="none"/>
        </w:tabs>
        <w:spacing w:before="120" w:after="0"/>
        <w:ind w:firstLine="720"/>
        <w:jc w:val="both"/>
        <w:rPr>
          <w:lang w:val="vi-VN"/>
        </w:rPr>
      </w:pPr>
      <w:r>
        <w:rPr/>
        <w:t>- Giải pháp 1: Hoàn thiện quy định nguyên tắc xác định thẩm quyền điều tra để bảo đảm hoạt động điều tra của Cơ quan điều tra diễn ra thông suốt, không phát sinh việc tách, chuyển vụ án hình sự làm ảnh hưởng đến việc xác định sự thật khách quan, tính toàn vẹn, kịp thời khi giải quyết vụ án, tiết kiệm về nguồn lực, thủ tục, thời gian tố tụng, chi phí tố tụng</w:t>
      </w:r>
      <w:r>
        <w:rPr>
          <w:lang w:val="vi-VN"/>
        </w:rPr>
        <w:t>.</w:t>
      </w:r>
    </w:p>
    <w:p>
      <w:pPr>
        <w:pStyle w:val="Normal"/>
        <w:widowControl w:val="false"/>
        <w:tabs>
          <w:tab w:val="clear" w:pos="720"/>
          <w:tab w:val="right" w:pos="7920" w:leader="none"/>
        </w:tabs>
        <w:spacing w:before="120" w:after="0"/>
        <w:ind w:firstLine="720"/>
        <w:jc w:val="both"/>
        <w:rPr>
          <w:lang w:val="en-US"/>
        </w:rPr>
      </w:pPr>
      <w:r>
        <w:rPr/>
        <w:t>- Giải pháp 2:</w:t>
      </w:r>
      <w:r>
        <w:rPr>
          <w:lang w:val="en-US"/>
        </w:rPr>
        <w:t xml:space="preserve"> Giữ nguyên như quy định của Luật Tổ chức cơ quan điều tra hình sự hiện hành.</w:t>
      </w:r>
    </w:p>
    <w:p>
      <w:pPr>
        <w:pStyle w:val="Normal"/>
        <w:widowControl w:val="false"/>
        <w:tabs>
          <w:tab w:val="clear" w:pos="720"/>
          <w:tab w:val="right" w:pos="7920" w:leader="none"/>
        </w:tabs>
        <w:spacing w:before="120" w:after="0"/>
        <w:ind w:firstLine="720"/>
        <w:jc w:val="both"/>
        <w:rPr>
          <w:lang w:val="en-US"/>
        </w:rPr>
      </w:pPr>
      <w:r>
        <w:rPr>
          <w:b/>
          <w:i/>
        </w:rPr>
        <w:t>2</w:t>
      </w:r>
      <w:r>
        <w:rPr>
          <w:b/>
          <w:bCs/>
          <w:i/>
          <w:iCs/>
        </w:rPr>
        <w:t>.3. Các giải pháp thực hiện chính sách</w:t>
      </w:r>
    </w:p>
    <w:p>
      <w:pPr>
        <w:pStyle w:val="Normal"/>
        <w:spacing w:before="120" w:after="0"/>
        <w:ind w:firstLine="720"/>
        <w:jc w:val="both"/>
        <w:rPr>
          <w:i/>
          <w:color w:val="000000"/>
          <w:lang w:val="en-US"/>
        </w:rPr>
      </w:pPr>
      <w:r>
        <w:rPr>
          <w:i/>
          <w:iCs/>
        </w:rPr>
        <w:t xml:space="preserve">a) </w:t>
      </w:r>
      <w:r>
        <w:rPr>
          <w:i/>
          <w:color w:val="000000"/>
          <w:lang w:val="en-US"/>
        </w:rPr>
        <w:t>Giải pháp 1: Hoàn thiện quy định nguyên tắc xác định thẩm quyền điều tra để bảo đảm hoạt động điều tra của Cơ quan điều tra diễn ra thông suốt, không phát sinh việc tách, chuyển vụ án hình sự làm ảnh hưởng đến việc xác định sự thật khách quan, tính toàn vẹn, kịp thời khi giải quyết vụ án, tiết kiệm về nguồn lực, thủ tục, thời gian tố tụng, chi phí tố tụng</w:t>
      </w:r>
      <w:r>
        <w:rPr>
          <w:rFonts w:ascii="Times New Roman Italic" w:hAnsi="Times New Roman Italic"/>
          <w:i/>
          <w:iCs/>
          <w:spacing w:val="2"/>
          <w:lang w:val="en-US"/>
        </w:rPr>
        <w:t>.</w:t>
      </w:r>
    </w:p>
    <w:p>
      <w:pPr>
        <w:pStyle w:val="Normal"/>
        <w:spacing w:before="120" w:after="0"/>
        <w:ind w:firstLine="720"/>
        <w:jc w:val="both"/>
        <w:rPr>
          <w:color w:val="000000"/>
          <w:lang w:val="en-US"/>
        </w:rPr>
      </w:pPr>
      <w:r>
        <w:rPr>
          <w:color w:val="000000"/>
          <w:lang w:val="en-US"/>
        </w:rPr>
        <w:t xml:space="preserve">Bổ sung quy định mang tính nguyên tắc về xác định thẩm quyền điều tra cụ thể như sau: </w:t>
      </w:r>
    </w:p>
    <w:p>
      <w:pPr>
        <w:pStyle w:val="Normal"/>
        <w:spacing w:before="120" w:after="0"/>
        <w:ind w:firstLine="720"/>
        <w:jc w:val="both"/>
        <w:rPr>
          <w:color w:val="000000"/>
          <w:lang w:val="en-US"/>
        </w:rPr>
      </w:pPr>
      <w:r>
        <w:rPr>
          <w:color w:val="000000"/>
          <w:lang w:val="en-US"/>
        </w:rPr>
        <w:t>- Bổ sung trường hợp cơ quan điều tra trong quá trình điều tra vụ án hình sự mà phát hiện hành vi phạm tội khác không thuộc thẩm quyền điều tra của mình thì cơ quan điều tra quyết định điều tra toàn bộ vụ án trong một số trường hợp cụ thể để bảo đảm hoạt động điều tra được thông suốt, không ảnh hưởng đến sự thật khách quan và bản chất của vụ án.</w:t>
      </w:r>
    </w:p>
    <w:p>
      <w:pPr>
        <w:pStyle w:val="Normal"/>
        <w:spacing w:before="120" w:after="0"/>
        <w:ind w:firstLine="720"/>
        <w:jc w:val="both"/>
        <w:rPr>
          <w:color w:val="000000"/>
          <w:lang w:val="en-US"/>
        </w:rPr>
      </w:pPr>
      <w:r>
        <w:rPr>
          <w:color w:val="000000"/>
          <w:lang w:val="en-US"/>
        </w:rPr>
        <w:t>- Bổ sung trường hợp tội phạm được thực hiện ở nhiều nơi khác nhau hoặc được thực hiện trên không gian mạng thì giao cho cơ quan điều tra nơi phát hiện tội phạm đang điều tra vụ án hình sự có thẩm quyền điều tra toàn bộ hành vi phạm tội.</w:t>
      </w:r>
    </w:p>
    <w:p>
      <w:pPr>
        <w:pStyle w:val="Normal"/>
        <w:spacing w:before="120" w:after="0"/>
        <w:ind w:firstLine="720"/>
        <w:jc w:val="both"/>
        <w:rPr>
          <w:i/>
          <w:color w:val="000000"/>
          <w:lang w:val="en-US"/>
        </w:rPr>
      </w:pPr>
      <w:r>
        <w:rPr>
          <w:i/>
          <w:iCs/>
        </w:rPr>
        <w:t xml:space="preserve">b) Giải pháp 2: </w:t>
      </w:r>
      <w:r>
        <w:rPr>
          <w:i/>
          <w:color w:val="000000"/>
          <w:lang w:val="en-US"/>
        </w:rPr>
        <w:t>Giữ nguyên như quy định của Luật Tổ chức cơ quan điều tra hình sự hiện hành.</w:t>
      </w:r>
    </w:p>
    <w:p>
      <w:pPr>
        <w:pStyle w:val="Normal"/>
        <w:widowControl w:val="false"/>
        <w:tabs>
          <w:tab w:val="clear" w:pos="720"/>
          <w:tab w:val="right" w:pos="7920" w:leader="none"/>
        </w:tabs>
        <w:spacing w:before="120" w:after="0"/>
        <w:ind w:firstLine="720"/>
        <w:jc w:val="both"/>
        <w:rPr>
          <w:iCs/>
          <w:spacing w:val="-4"/>
          <w:lang w:val="en-US"/>
        </w:rPr>
      </w:pPr>
      <w:r>
        <w:rPr>
          <w:iCs/>
          <w:spacing w:val="-4"/>
          <w:lang w:val="en-US"/>
        </w:rPr>
        <w:t>Không hoàn thiện quy định nguyên tắc xác định thẩm quyền điều tra để bảo đảm hoạt động điều tra của Cơ quan điều tra diễn ra thông suốt, không phát sinh việc tách, chuyển vụ án hình sự làm ảnh hưởng đến việc xác định sự thật khách quan, tính toàn vẹn, kịp thời khi giải quyết vụ án, tiết kiệm về nguồn lực, thủ tục, thời gian tố tụng, chi phí tố tụng.</w:t>
      </w:r>
    </w:p>
    <w:p>
      <w:pPr>
        <w:pStyle w:val="Normal"/>
        <w:widowControl w:val="false"/>
        <w:tabs>
          <w:tab w:val="clear" w:pos="720"/>
          <w:tab w:val="right" w:pos="7920" w:leader="none"/>
        </w:tabs>
        <w:spacing w:before="120" w:after="0"/>
        <w:ind w:firstLine="720"/>
        <w:jc w:val="both"/>
        <w:rPr/>
      </w:pPr>
      <w:r>
        <w:rPr>
          <w:b/>
          <w:bCs/>
          <w:i/>
          <w:iCs/>
        </w:rPr>
        <w:t>2.4. Giải pháp tối ưu được lựa chọn và lý do lựa chọn</w:t>
      </w:r>
    </w:p>
    <w:p>
      <w:pPr>
        <w:pStyle w:val="Normal"/>
        <w:widowControl w:val="false"/>
        <w:spacing w:before="120" w:after="0"/>
        <w:ind w:firstLine="720"/>
        <w:jc w:val="both"/>
        <w:rPr>
          <w:color w:val="000000"/>
          <w:lang w:val="en-US"/>
        </w:rPr>
      </w:pPr>
      <w:r>
        <w:rPr>
          <w:color w:val="000000"/>
          <w:lang w:val="vi-VN"/>
        </w:rPr>
        <w:t>Trên cơ sở phân tích,</w:t>
      </w:r>
      <w:r>
        <w:rPr>
          <w:color w:val="000000"/>
          <w:lang w:val="en-US"/>
        </w:rPr>
        <w:t xml:space="preserve"> s</w:t>
      </w:r>
      <w:r>
        <w:rPr>
          <w:color w:val="000000"/>
          <w:lang w:val="vi-VN"/>
        </w:rPr>
        <w:t>o sánh</w:t>
      </w:r>
      <w:r>
        <w:rPr>
          <w:color w:val="000000"/>
          <w:lang w:val="en-US"/>
        </w:rPr>
        <w:t>, đánh giá tác động</w:t>
      </w:r>
      <w:r>
        <w:rPr>
          <w:color w:val="000000"/>
          <w:lang w:val="vi-VN"/>
        </w:rPr>
        <w:t xml:space="preserve"> </w:t>
      </w:r>
      <w:r>
        <w:rPr>
          <w:color w:val="000000"/>
          <w:lang w:val="en-US"/>
        </w:rPr>
        <w:t>c</w:t>
      </w:r>
      <w:r>
        <w:rPr>
          <w:color w:val="000000"/>
          <w:lang w:val="vi-VN"/>
        </w:rPr>
        <w:t xml:space="preserve">ủa các giải pháp, Bộ Công an đề nghị lựa chọn </w:t>
      </w:r>
      <w:r>
        <w:rPr>
          <w:color w:val="000000"/>
          <w:lang w:val="en-US"/>
        </w:rPr>
        <w:t>g</w:t>
      </w:r>
      <w:r>
        <w:rPr>
          <w:color w:val="000000"/>
          <w:lang w:val="vi-VN"/>
        </w:rPr>
        <w:t>iải pháp</w:t>
      </w:r>
      <w:r>
        <w:rPr>
          <w:color w:val="000000"/>
          <w:lang w:val="en-US"/>
        </w:rPr>
        <w:t xml:space="preserve"> 1 đó là bổ sung quy định nguyên tắc xác định thẩm quyền điều tra để đảm bảo điều tra thông suốt hạn chế tình trạng phải chuyển, tách vụ án hình sự, chưa bảo đảm tính thông suốt trong hoạt động tố tụng hình sự và làm phát sinh thủ tục, chi phí tố tụng hình sự không cần thiết, ảnh hưởng đến quá trình giải quyết vụ án hình sự.</w:t>
      </w:r>
    </w:p>
    <w:p>
      <w:pPr>
        <w:pStyle w:val="Normal"/>
        <w:tabs>
          <w:tab w:val="clear" w:pos="720"/>
          <w:tab w:val="right" w:pos="7920" w:leader="dot"/>
        </w:tabs>
        <w:spacing w:before="120" w:after="0"/>
        <w:ind w:firstLine="720"/>
        <w:jc w:val="both"/>
        <w:rPr>
          <w:rFonts w:eastAsia="Courier New"/>
          <w:b/>
          <w:spacing w:val="-6"/>
          <w:lang w:val="vi-VN" w:eastAsia="en-GB"/>
        </w:rPr>
      </w:pPr>
      <w:r>
        <w:rPr>
          <w:b/>
          <w:bCs/>
        </w:rPr>
        <w:t xml:space="preserve">3. Chính sách 3: </w:t>
      </w:r>
      <w:r>
        <w:rPr>
          <w:rFonts w:eastAsia="Courier New"/>
          <w:b/>
          <w:spacing w:val="-6"/>
          <w:lang w:val="vi-VN" w:eastAsia="en-GB"/>
        </w:rPr>
        <w:t xml:space="preserve"> Ho</w:t>
      </w:r>
      <w:r>
        <w:rPr>
          <w:rFonts w:eastAsia="Courier New" w:hint="eastAsia"/>
          <w:b/>
          <w:spacing w:val="-6"/>
          <w:lang w:val="vi-VN" w:eastAsia="en-GB"/>
        </w:rPr>
        <w:t>à</w:t>
      </w:r>
      <w:r>
        <w:rPr>
          <w:rFonts w:eastAsia="Courier New"/>
          <w:b/>
          <w:spacing w:val="-6"/>
          <w:lang w:val="vi-VN" w:eastAsia="en-GB"/>
        </w:rPr>
        <w:t xml:space="preserve">n thiện quy </w:t>
      </w:r>
      <w:r>
        <w:rPr>
          <w:rFonts w:eastAsia="Courier New" w:hint="eastAsia"/>
          <w:b/>
          <w:spacing w:val="-6"/>
          <w:lang w:val="vi-VN" w:eastAsia="en-GB"/>
        </w:rPr>
        <w:t>đ</w:t>
      </w:r>
      <w:r>
        <w:rPr>
          <w:rFonts w:eastAsia="Courier New"/>
          <w:b/>
          <w:spacing w:val="-6"/>
          <w:lang w:val="vi-VN" w:eastAsia="en-GB"/>
        </w:rPr>
        <w:t xml:space="preserve">ịnh về thẩm quyền của </w:t>
      </w:r>
      <w:r>
        <w:rPr>
          <w:rFonts w:eastAsia="Courier New"/>
          <w:b/>
          <w:spacing w:val="-6"/>
          <w:lang w:val="en-US" w:eastAsia="en-GB"/>
        </w:rPr>
        <w:t>từng</w:t>
      </w:r>
      <w:r>
        <w:rPr>
          <w:rFonts w:eastAsia="Courier New"/>
          <w:b/>
          <w:spacing w:val="-6"/>
          <w:lang w:val="vi-VN" w:eastAsia="en-GB"/>
        </w:rPr>
        <w:t xml:space="preserve"> </w:t>
      </w:r>
      <w:r>
        <w:rPr>
          <w:rFonts w:eastAsia="Courier New"/>
          <w:b/>
          <w:spacing w:val="-6"/>
          <w:lang w:val="en-US" w:eastAsia="en-GB"/>
        </w:rPr>
        <w:t>C</w:t>
      </w:r>
      <w:r>
        <w:rPr>
          <w:rFonts w:eastAsia="Courier New" w:hint="eastAsia"/>
          <w:b/>
          <w:spacing w:val="-6"/>
          <w:lang w:val="vi-VN" w:eastAsia="en-GB"/>
        </w:rPr>
        <w:t>ơ</w:t>
      </w:r>
      <w:r>
        <w:rPr>
          <w:rFonts w:eastAsia="Courier New"/>
          <w:b/>
          <w:spacing w:val="-6"/>
          <w:lang w:val="vi-VN" w:eastAsia="en-GB"/>
        </w:rPr>
        <w:t xml:space="preserve"> quan </w:t>
      </w:r>
      <w:r>
        <w:rPr>
          <w:rFonts w:eastAsia="Courier New" w:hint="eastAsia"/>
          <w:b/>
          <w:spacing w:val="-6"/>
          <w:lang w:val="vi-VN" w:eastAsia="en-GB"/>
        </w:rPr>
        <w:t>đ</w:t>
      </w:r>
      <w:r>
        <w:rPr>
          <w:rFonts w:eastAsia="Courier New"/>
          <w:b/>
          <w:spacing w:val="-6"/>
          <w:lang w:val="vi-VN" w:eastAsia="en-GB"/>
        </w:rPr>
        <w:t>iều tra</w:t>
      </w:r>
    </w:p>
    <w:p>
      <w:pPr>
        <w:pStyle w:val="Normal"/>
        <w:tabs>
          <w:tab w:val="clear" w:pos="720"/>
          <w:tab w:val="right" w:pos="7920" w:leader="dot"/>
        </w:tabs>
        <w:spacing w:before="120" w:after="0"/>
        <w:ind w:firstLine="720"/>
        <w:jc w:val="both"/>
        <w:rPr/>
      </w:pPr>
      <w:r>
        <w:rPr>
          <w:b/>
          <w:bCs/>
          <w:i/>
          <w:iCs/>
        </w:rPr>
        <w:t>3.1. Mục tiêu của chính sách</w:t>
      </w:r>
    </w:p>
    <w:p>
      <w:pPr>
        <w:pStyle w:val="Normal"/>
        <w:widowControl w:val="false"/>
        <w:tabs>
          <w:tab w:val="clear" w:pos="720"/>
          <w:tab w:val="left" w:pos="1080" w:leader="none"/>
        </w:tabs>
        <w:spacing w:before="120" w:after="0"/>
        <w:ind w:firstLine="720"/>
        <w:jc w:val="both"/>
        <w:rPr>
          <w:rFonts w:eastAsia="Courier New"/>
          <w:color w:val="000000"/>
          <w:spacing w:val="-8"/>
          <w:lang w:val="en-US" w:eastAsia="vi-VN"/>
        </w:rPr>
      </w:pPr>
      <w:r>
        <w:rPr>
          <w:rFonts w:eastAsia="Courier New"/>
          <w:color w:val="000000"/>
          <w:spacing w:val="-8"/>
          <w:lang w:val="vi-VN" w:eastAsia="vi-VN"/>
        </w:rPr>
        <w:t xml:space="preserve">Nghiên cứu, hoàn thiện quy định về thẩm quyền của các cơ quan điều tra trong hệ thống nhằm khắc phục tình trạng chồng chéo; đồng thời, bảo đảm tính </w:t>
      </w:r>
      <w:r>
        <w:rPr>
          <w:rFonts w:eastAsia="Courier New"/>
          <w:color w:val="000000"/>
          <w:spacing w:val="-8"/>
          <w:lang w:val="en-US" w:eastAsia="vi-VN"/>
        </w:rPr>
        <w:t>thông suốt</w:t>
      </w:r>
      <w:r>
        <w:rPr>
          <w:rFonts w:eastAsia="Courier New"/>
          <w:color w:val="000000"/>
          <w:spacing w:val="-8"/>
          <w:lang w:val="vi-VN" w:eastAsia="vi-VN"/>
        </w:rPr>
        <w:t xml:space="preserve">, </w:t>
      </w:r>
      <w:r>
        <w:rPr>
          <w:rFonts w:eastAsia="Courier New"/>
          <w:color w:val="000000"/>
          <w:spacing w:val="-8"/>
          <w:lang w:val="en-US" w:eastAsia="vi-VN"/>
        </w:rPr>
        <w:t>trong quá trình điều tra vụ án hình sự, cải cách thủ tục tố tụng hình sự, hạn chế tình trạng phải chuyển, tách vụ án hình sự và</w:t>
      </w:r>
      <w:r>
        <w:rPr>
          <w:rFonts w:eastAsia="Courier New" w:cs="Courier New"/>
          <w:color w:val="000000"/>
          <w:spacing w:val="-4"/>
          <w:lang w:val="vi-VN" w:eastAsia="vi-VN"/>
        </w:rPr>
        <w:t xml:space="preserve"> </w:t>
      </w:r>
      <w:r>
        <w:rPr>
          <w:rFonts w:eastAsia="Courier New" w:cs="Courier New"/>
          <w:color w:val="000000"/>
          <w:spacing w:val="-4"/>
          <w:lang w:val="it-IT" w:eastAsia="vi-VN"/>
        </w:rPr>
        <w:t>phát sinh thủ tục, chi phí tố tụng hình sự.</w:t>
      </w:r>
    </w:p>
    <w:p>
      <w:pPr>
        <w:pStyle w:val="Normal"/>
        <w:widowControl w:val="false"/>
        <w:tabs>
          <w:tab w:val="clear" w:pos="720"/>
          <w:tab w:val="right" w:pos="7920" w:leader="none"/>
        </w:tabs>
        <w:spacing w:before="120" w:after="0"/>
        <w:jc w:val="both"/>
        <w:rPr/>
      </w:pPr>
      <w:r>
        <w:rPr>
          <w:lang w:val="en-US"/>
        </w:rPr>
        <w:t xml:space="preserve">           </w:t>
      </w:r>
      <w:r>
        <w:rPr>
          <w:b/>
          <w:bCs/>
          <w:i/>
          <w:iCs/>
        </w:rPr>
        <w:t>3.2. Nội dung của chính sách</w:t>
      </w:r>
    </w:p>
    <w:p>
      <w:pPr>
        <w:pStyle w:val="Normal"/>
        <w:spacing w:before="120" w:after="0"/>
        <w:ind w:firstLine="720"/>
        <w:jc w:val="both"/>
        <w:rPr>
          <w:bCs/>
          <w:i/>
          <w:color w:val="000000"/>
          <w:lang w:val="en-US" w:eastAsia="vi-VN"/>
        </w:rPr>
      </w:pPr>
      <w:r>
        <w:rPr/>
        <w:t>- Giải pháp 1:</w:t>
      </w:r>
      <w:r>
        <w:rPr>
          <w:iCs/>
        </w:rPr>
        <w:t xml:space="preserve"> </w:t>
      </w:r>
      <w:r>
        <w:rPr>
          <w:bCs/>
          <w:color w:val="000000"/>
          <w:lang w:val="en-US" w:eastAsia="vi-VN"/>
        </w:rPr>
        <w:t>Hoàn thiện quy định về thẩm quyền điều tra của từng Cơ quan điều tra phù hợp với tổ chức bộ máy và yêu cầu thực tiễn đấu tranh, phòng, chống tội phạm.</w:t>
      </w:r>
    </w:p>
    <w:p>
      <w:pPr>
        <w:pStyle w:val="Normal"/>
        <w:widowControl w:val="false"/>
        <w:tabs>
          <w:tab w:val="clear" w:pos="720"/>
          <w:tab w:val="right" w:pos="7920" w:leader="none"/>
        </w:tabs>
        <w:spacing w:before="120" w:after="0"/>
        <w:jc w:val="both"/>
        <w:rPr>
          <w:lang w:val="en-US"/>
        </w:rPr>
      </w:pPr>
      <w:r>
        <w:rPr>
          <w:lang w:val="en-US"/>
        </w:rPr>
        <w:tab/>
        <w:t xml:space="preserve">           </w:t>
      </w:r>
      <w:r>
        <w:rPr/>
        <w:t xml:space="preserve">- Giải pháp 2: </w:t>
      </w:r>
      <w:r>
        <w:rPr>
          <w:lang w:val="en-US"/>
        </w:rPr>
        <w:t>Giữ nguyên như quy định của Luật Tổ chức cơ quan điều tra hình sự hiện hành.</w:t>
      </w:r>
    </w:p>
    <w:p>
      <w:pPr>
        <w:pStyle w:val="Normal"/>
        <w:widowControl w:val="false"/>
        <w:tabs>
          <w:tab w:val="clear" w:pos="720"/>
          <w:tab w:val="right" w:pos="7920" w:leader="none"/>
        </w:tabs>
        <w:spacing w:before="120" w:after="0"/>
        <w:ind w:firstLine="720"/>
        <w:jc w:val="both"/>
        <w:rPr/>
      </w:pPr>
      <w:r>
        <w:rPr>
          <w:b/>
          <w:bCs/>
          <w:i/>
          <w:iCs/>
        </w:rPr>
        <w:t>3.3. Các giải pháp thực hiện chính sách</w:t>
      </w:r>
    </w:p>
    <w:p>
      <w:pPr>
        <w:pStyle w:val="Normal"/>
        <w:spacing w:before="120" w:after="0"/>
        <w:ind w:firstLine="720"/>
        <w:jc w:val="both"/>
        <w:rPr>
          <w:bCs/>
          <w:i/>
          <w:color w:val="000000"/>
          <w:lang w:val="en-US" w:eastAsia="vi-VN"/>
        </w:rPr>
      </w:pPr>
      <w:r>
        <w:rPr>
          <w:i/>
          <w:iCs/>
        </w:rPr>
        <w:t xml:space="preserve">a) Giải pháp 1: </w:t>
      </w:r>
      <w:r>
        <w:rPr>
          <w:bCs/>
          <w:i/>
          <w:color w:val="000000"/>
          <w:lang w:val="en-US" w:eastAsia="vi-VN"/>
        </w:rPr>
        <w:t>Hoàn thiện quy định về thẩm quyền điều tra của từng Cơ quan điều tra phù hợp với tổ chức bộ máy và yêu cầu thực tiễn đấu tranh, phòng, chống tội phạm</w:t>
      </w:r>
      <w:r>
        <w:rPr>
          <w:rFonts w:ascii="Times New Roman Italic" w:hAnsi="Times New Roman Italic"/>
          <w:i/>
          <w:iCs/>
          <w:spacing w:val="2"/>
          <w:lang w:val="en-US"/>
        </w:rPr>
        <w:t xml:space="preserve">, cụ thể như sau: </w:t>
      </w:r>
    </w:p>
    <w:p>
      <w:pPr>
        <w:pStyle w:val="Normal"/>
        <w:widowControl w:val="false"/>
        <w:tabs>
          <w:tab w:val="clear" w:pos="720"/>
          <w:tab w:val="left" w:pos="700" w:leader="none"/>
        </w:tabs>
        <w:spacing w:before="120" w:after="0"/>
        <w:ind w:firstLine="720"/>
        <w:jc w:val="both"/>
        <w:rPr>
          <w:rFonts w:eastAsia="Courier New"/>
          <w:color w:val="000000"/>
          <w:lang w:val="en-US" w:eastAsia="vi-VN"/>
        </w:rPr>
      </w:pPr>
      <w:r>
        <w:rPr>
          <w:rFonts w:eastAsia="Courier New"/>
          <w:color w:val="000000"/>
          <w:lang w:val="en-US" w:eastAsia="vi-VN"/>
        </w:rPr>
        <w:t>- Sửa đổi, bổ sung quy định có liên quan về tổ chức bộ máy của hệ thống Cơ quan điều tra của Công an nhân dân như sau:</w:t>
      </w:r>
    </w:p>
    <w:p>
      <w:pPr>
        <w:pStyle w:val="Normal"/>
        <w:widowControl w:val="false"/>
        <w:tabs>
          <w:tab w:val="clear" w:pos="720"/>
          <w:tab w:val="left" w:pos="700" w:leader="none"/>
        </w:tabs>
        <w:spacing w:before="120" w:after="0"/>
        <w:ind w:firstLine="720"/>
        <w:jc w:val="both"/>
        <w:rPr>
          <w:rFonts w:eastAsia="Courier New"/>
          <w:color w:val="000000"/>
          <w:lang w:val="en-US" w:eastAsia="vi-VN"/>
        </w:rPr>
      </w:pPr>
      <w:r>
        <w:rPr>
          <w:rFonts w:eastAsia="Courier New"/>
          <w:color w:val="000000"/>
          <w:lang w:val="en-US" w:eastAsia="vi-VN"/>
        </w:rPr>
        <w:t>+ Sửa đổi, bổ sung quy định chuyển thẩm quyền của Cơ quan điều tra Viện kiểm sát nhân dân tối cao sang Cơ quan An ninh điều tra Bộ Công an;</w:t>
      </w:r>
    </w:p>
    <w:p>
      <w:pPr>
        <w:pStyle w:val="Normal"/>
        <w:widowControl w:val="false"/>
        <w:tabs>
          <w:tab w:val="clear" w:pos="720"/>
          <w:tab w:val="left" w:pos="700" w:leader="none"/>
        </w:tabs>
        <w:spacing w:before="120" w:after="0"/>
        <w:ind w:firstLine="720"/>
        <w:jc w:val="both"/>
        <w:rPr>
          <w:rFonts w:eastAsia="Courier New"/>
          <w:color w:val="000000"/>
          <w:lang w:val="en-US" w:eastAsia="vi-VN"/>
        </w:rPr>
      </w:pPr>
      <w:r>
        <w:rPr>
          <w:rFonts w:eastAsia="Courier New"/>
          <w:color w:val="000000"/>
          <w:lang w:val="en-US" w:eastAsia="vi-VN"/>
        </w:rPr>
        <w:t>+ Sửa đổi, bổ sung quy định về thẩm quyền của Cơ quan Cảnh sát điều tra Công an cấp tỉnh theo hướng được tiến hành điều tra các vụ án hình sự quy định tại các Chương từ Chương XIV đến Chương XXIV của Bộ luật Hình sự khi các tội phạm đó thuộc thẩm quyền xét của Toà án nhân dân.</w:t>
      </w:r>
    </w:p>
    <w:p>
      <w:pPr>
        <w:pStyle w:val="Normal"/>
        <w:widowControl w:val="false"/>
        <w:tabs>
          <w:tab w:val="clear" w:pos="720"/>
          <w:tab w:val="left" w:pos="700" w:leader="none"/>
        </w:tabs>
        <w:spacing w:before="120" w:after="0"/>
        <w:ind w:firstLine="720"/>
        <w:jc w:val="both"/>
        <w:rPr>
          <w:rFonts w:eastAsia="Courier New"/>
          <w:color w:val="000000"/>
          <w:lang w:val="en-US" w:eastAsia="vi-VN"/>
        </w:rPr>
      </w:pPr>
      <w:r>
        <w:rPr>
          <w:rFonts w:eastAsia="Courier New"/>
          <w:color w:val="000000"/>
          <w:lang w:val="vi-VN" w:eastAsia="vi-VN"/>
        </w:rPr>
        <w:t xml:space="preserve">+ Sửa đổi, bổ sung quy định có liên quan về thẩm quyền của các </w:t>
      </w:r>
      <w:r>
        <w:rPr>
          <w:rFonts w:eastAsia="Courier New"/>
          <w:color w:val="000000"/>
          <w:lang w:val="en-US" w:eastAsia="vi-VN"/>
        </w:rPr>
        <w:t>C</w:t>
      </w:r>
      <w:r>
        <w:rPr>
          <w:rFonts w:eastAsia="Courier New"/>
          <w:color w:val="000000"/>
          <w:lang w:val="vi-VN" w:eastAsia="vi-VN"/>
        </w:rPr>
        <w:t>ơ quan điều tra</w:t>
      </w:r>
      <w:r>
        <w:rPr>
          <w:rFonts w:eastAsia="Courier New"/>
          <w:color w:val="000000"/>
          <w:lang w:val="en-US" w:eastAsia="vi-VN"/>
        </w:rPr>
        <w:t xml:space="preserve"> trong Quân đội nhân dân</w:t>
      </w:r>
      <w:r>
        <w:rPr>
          <w:rFonts w:eastAsia="Courier New"/>
          <w:color w:val="000000"/>
          <w:lang w:val="vi-VN" w:eastAsia="vi-VN"/>
        </w:rPr>
        <w:t xml:space="preserve"> phù hợp với mô hình tổ chức bộ máy mới</w:t>
      </w:r>
      <w:r>
        <w:rPr>
          <w:rFonts w:eastAsia="Courier New"/>
          <w:color w:val="000000"/>
          <w:lang w:val="en-US" w:eastAsia="vi-VN"/>
        </w:rPr>
        <w:t xml:space="preserve"> khi bỏ Cơ quan điều tra Viện kiểm sát Quân sự Trung ương…</w:t>
      </w:r>
    </w:p>
    <w:p>
      <w:pPr>
        <w:pStyle w:val="Normal"/>
        <w:spacing w:before="120" w:after="0"/>
        <w:ind w:firstLine="720"/>
        <w:jc w:val="both"/>
        <w:rPr>
          <w:rFonts w:eastAsia="Courier New"/>
          <w:lang w:val="en-US" w:eastAsia="en-GB"/>
        </w:rPr>
      </w:pPr>
      <w:r>
        <w:rPr>
          <w:i/>
          <w:iCs/>
        </w:rPr>
        <w:t xml:space="preserve">b) Giải pháp 2: </w:t>
      </w:r>
      <w:r>
        <w:rPr>
          <w:i/>
          <w:lang w:val="en-US"/>
        </w:rPr>
        <w:t>Giữ nguyên như quy định của Luật Tổ chức cơ quan điều tra hình sự hiện hành.</w:t>
      </w:r>
    </w:p>
    <w:p>
      <w:pPr>
        <w:pStyle w:val="Normal"/>
        <w:tabs>
          <w:tab w:val="clear" w:pos="720"/>
          <w:tab w:val="right" w:pos="7920" w:leader="none"/>
        </w:tabs>
        <w:spacing w:before="120" w:after="0"/>
        <w:ind w:firstLine="720"/>
        <w:jc w:val="both"/>
        <w:rPr>
          <w:rFonts w:eastAsia="Courier New"/>
          <w:color w:val="000000"/>
          <w:lang w:val="en-US" w:eastAsia="en-GB"/>
        </w:rPr>
      </w:pPr>
      <w:r>
        <w:rPr>
          <w:rFonts w:eastAsia="Courier New"/>
          <w:color w:val="000000"/>
          <w:lang w:val="vi-VN" w:eastAsia="en-GB"/>
        </w:rPr>
        <w:t xml:space="preserve"> </w:t>
      </w:r>
      <w:r>
        <w:rPr>
          <w:rFonts w:eastAsia="Courier New"/>
          <w:color w:val="000000"/>
          <w:lang w:val="en-US" w:eastAsia="en-GB"/>
        </w:rPr>
        <w:t>Giữ nguyên thẩm quyền của các Cơ quan điều tra theo quy định của Luật Tổ chức cơ quan điều tra hình sự hiện hành.</w:t>
      </w:r>
    </w:p>
    <w:p>
      <w:pPr>
        <w:pStyle w:val="Normal"/>
        <w:tabs>
          <w:tab w:val="clear" w:pos="720"/>
          <w:tab w:val="right" w:pos="7920" w:leader="none"/>
        </w:tabs>
        <w:spacing w:before="120" w:after="0"/>
        <w:ind w:firstLine="720"/>
        <w:jc w:val="both"/>
        <w:rPr/>
      </w:pPr>
      <w:r>
        <w:rPr>
          <w:b/>
          <w:bCs/>
          <w:i/>
          <w:iCs/>
        </w:rPr>
        <w:t>3.4. Giải pháp tối ưu được lựa chọn và lý do lựa chọn</w:t>
      </w:r>
    </w:p>
    <w:p>
      <w:pPr>
        <w:pStyle w:val="Normal"/>
        <w:spacing w:before="120" w:after="0"/>
        <w:ind w:firstLine="720"/>
        <w:jc w:val="both"/>
        <w:rPr>
          <w:rFonts w:eastAsia="Courier New" w:cs="Courier New"/>
          <w:color w:val="000000"/>
          <w:spacing w:val="-4"/>
          <w:lang w:val="vi-VN" w:eastAsia="vi-VN"/>
        </w:rPr>
      </w:pPr>
      <w:r>
        <w:rPr>
          <w:rFonts w:eastAsia="Courier New" w:cs="Courier New"/>
          <w:color w:val="000000"/>
          <w:spacing w:val="-2"/>
          <w:lang w:val="vi-VN" w:eastAsia="vi-VN"/>
        </w:rPr>
        <w:t xml:space="preserve"> </w:t>
      </w:r>
      <w:r>
        <w:rPr>
          <w:rFonts w:eastAsia="Courier New" w:cs="Courier New"/>
          <w:color w:val="000000"/>
          <w:spacing w:val="-2"/>
          <w:lang w:val="vi-VN" w:eastAsia="vi-VN"/>
        </w:rPr>
        <w:t xml:space="preserve">Trên cơ sở phân tích, so sánh, đánh giá tác động của các giải pháp, Bộ Công an đề nghị lựa chọn </w:t>
      </w:r>
      <w:r>
        <w:rPr>
          <w:rFonts w:eastAsia="Courier New" w:cs="Courier New"/>
          <w:color w:val="000000"/>
          <w:spacing w:val="-2"/>
          <w:lang w:val="en-US" w:eastAsia="vi-VN"/>
        </w:rPr>
        <w:t>g</w:t>
      </w:r>
      <w:r>
        <w:rPr>
          <w:rFonts w:eastAsia="Courier New" w:cs="Courier New"/>
          <w:color w:val="000000"/>
          <w:spacing w:val="-2"/>
          <w:lang w:val="vi-VN" w:eastAsia="vi-VN"/>
        </w:rPr>
        <w:t xml:space="preserve">iải pháp 1 để </w:t>
      </w:r>
      <w:r>
        <w:rPr>
          <w:rFonts w:eastAsia="Courier New" w:cs="Courier New"/>
          <w:color w:val="000000"/>
          <w:spacing w:val="-2"/>
          <w:lang w:val="en-US" w:eastAsia="vi-VN"/>
        </w:rPr>
        <w:t>bảo đảm tính thông suốt của hoạt động tố tụng hình sự, cải cách thủ tục tố tụng hình sự, hạn chế tình trạng phải chuyển, tách vụ án hình sự</w:t>
      </w:r>
      <w:r>
        <w:rPr>
          <w:rFonts w:eastAsia="Courier New" w:cs="Courier New"/>
          <w:color w:val="000000"/>
          <w:spacing w:val="-4"/>
          <w:lang w:val="it-IT" w:eastAsia="vi-VN"/>
        </w:rPr>
        <w:t>.</w:t>
      </w:r>
    </w:p>
    <w:p>
      <w:pPr>
        <w:pStyle w:val="Normal"/>
        <w:spacing w:before="120" w:after="0"/>
        <w:ind w:firstLine="720"/>
        <w:jc w:val="both"/>
        <w:rPr>
          <w:rFonts w:eastAsia="Calibri"/>
          <w:b/>
          <w:color w:val="000000"/>
          <w:spacing w:val="-2"/>
          <w:lang w:val="en-US"/>
        </w:rPr>
      </w:pPr>
      <w:r>
        <w:rPr>
          <w:b/>
          <w:bCs/>
        </w:rPr>
        <w:t xml:space="preserve">4. Chính sách 4: </w:t>
      </w:r>
      <w:r>
        <w:rPr>
          <w:rFonts w:eastAsia="Calibri"/>
          <w:b/>
          <w:color w:val="000000"/>
          <w:spacing w:val="-2"/>
          <w:lang w:val="en-US"/>
        </w:rPr>
        <w:t>Hoàn thiện q</w:t>
      </w:r>
      <w:r>
        <w:rPr>
          <w:rFonts w:eastAsia="Calibri"/>
          <w:b/>
          <w:color w:val="000000"/>
          <w:spacing w:val="-2"/>
          <w:lang w:val="vi-VN"/>
        </w:rPr>
        <w:t>uy định về</w:t>
      </w:r>
      <w:r>
        <w:rPr>
          <w:rFonts w:eastAsia="Calibri"/>
          <w:b/>
          <w:color w:val="000000"/>
          <w:spacing w:val="-2"/>
          <w:lang w:val="en-US"/>
        </w:rPr>
        <w:t xml:space="preserve"> các cơ quan được giao nhiệm vụ tiến hành một số hoạt động điều tra, xác định tên gọi, nhiệm vụ, quyền hạn điều tra của các cơ quan này; nhiệm vụ, quyền hạn của Công an xã, phường, đặc khu, đồn Công an trong xác định tố giác, tin báo về tội phạm, tiến hành tiếp nhận, xác minh ban đầu bảo đảm đáp ứng yêu cầu đấu tranh phòng, chống tội phạm sau khi thực hiện tinh gọn bộ máy, tổ chức chính quyền địa phương 02 cấp</w:t>
      </w:r>
    </w:p>
    <w:p>
      <w:pPr>
        <w:pStyle w:val="Normal"/>
        <w:tabs>
          <w:tab w:val="clear" w:pos="720"/>
          <w:tab w:val="right" w:pos="7920" w:leader="dot"/>
        </w:tabs>
        <w:spacing w:before="120" w:after="0"/>
        <w:ind w:firstLine="720"/>
        <w:jc w:val="both"/>
        <w:rPr/>
      </w:pPr>
      <w:r>
        <w:rPr>
          <w:b/>
          <w:bCs/>
          <w:i/>
          <w:iCs/>
        </w:rPr>
        <w:t>4.1. Mục tiêu của chính sách</w:t>
      </w:r>
    </w:p>
    <w:p>
      <w:pPr>
        <w:pStyle w:val="Normal"/>
        <w:spacing w:before="120" w:after="0"/>
        <w:ind w:firstLine="720"/>
        <w:jc w:val="both"/>
        <w:rPr>
          <w:color w:val="000000"/>
          <w:lang w:val="en-US"/>
        </w:rPr>
      </w:pPr>
      <w:r>
        <w:rPr>
          <w:rFonts w:eastAsia="Courier New"/>
          <w:color w:val="000000"/>
          <w:spacing w:val="-8"/>
          <w:lang w:val="vi-VN" w:eastAsia="vi-VN"/>
        </w:rPr>
        <w:t xml:space="preserve"> </w:t>
      </w:r>
      <w:r>
        <w:rPr>
          <w:color w:val="000000"/>
          <w:lang w:val="en-US"/>
        </w:rPr>
        <w:t>Hoàn thiện, bổ sung các quy định liên quan đến tên gọi và tổ chức bộ máy của các cơ quan được giao nhiệm vụ tiến hành một số hoạt động điều tra (Hải quan, Kiểm lâm và Kiểm ngư…) bảo đảm phù hợp với mô hình tổ chức và tên gọi mới trên thực tế của các cơ quan này sau khi tiến hành sắp xếp, tinh gọn tổ chức bộ máy. Bên cạnh đó, bổ sung, hoàn thiện quy định về nhiệm vụ, quyền hạn, thẩm quyền điều tra của các cơ quan được giao nhiệm vụ tiến hành một số hoạt động điều tra, Công an xã, phường, đặc khu, đồn Công an bảo đảm phù hợp với các văn bản pháp luật có liên quan và tình hình thực tiễn, phù hợp với chức năng, nhiệm vụ, năng lực của các cơ quan này trên thực tế.</w:t>
      </w:r>
    </w:p>
    <w:p>
      <w:pPr>
        <w:pStyle w:val="Normal"/>
        <w:widowControl w:val="false"/>
        <w:tabs>
          <w:tab w:val="clear" w:pos="720"/>
          <w:tab w:val="right" w:pos="7920" w:leader="none"/>
        </w:tabs>
        <w:spacing w:before="120" w:after="0"/>
        <w:jc w:val="both"/>
        <w:rPr/>
      </w:pPr>
      <w:r>
        <w:rPr>
          <w:b/>
          <w:i/>
          <w:lang w:val="en-US"/>
        </w:rPr>
        <w:t xml:space="preserve">           </w:t>
      </w:r>
      <w:r>
        <w:rPr>
          <w:b/>
          <w:i/>
          <w:lang w:val="en-US"/>
        </w:rPr>
        <w:t>4</w:t>
      </w:r>
      <w:r>
        <w:rPr>
          <w:b/>
          <w:i/>
          <w:lang w:val="vi-VN"/>
        </w:rPr>
        <w:t>.2</w:t>
      </w:r>
      <w:r>
        <w:rPr>
          <w:b/>
          <w:bCs/>
          <w:i/>
          <w:iCs/>
        </w:rPr>
        <w:t>. Nội dung của chính sách</w:t>
      </w:r>
    </w:p>
    <w:p>
      <w:pPr>
        <w:pStyle w:val="Normal"/>
        <w:pBdr>
          <w:top w:val="dotted" w:sz="4" w:space="0" w:color="FFFFFF"/>
          <w:left w:val="dotted" w:sz="4" w:space="0" w:color="FFFFFF"/>
          <w:bottom w:val="dotted" w:sz="4" w:space="1" w:color="FFFFFF"/>
          <w:right w:val="dotted" w:sz="4" w:space="0" w:color="FFFFFF"/>
        </w:pBdr>
        <w:shd w:val="clear" w:color="auto" w:fill="FFFFFF"/>
        <w:spacing w:before="120" w:after="0"/>
        <w:ind w:firstLine="720"/>
        <w:jc w:val="both"/>
        <w:rPr>
          <w:color w:val="000000"/>
          <w:lang w:val="en-US"/>
        </w:rPr>
      </w:pPr>
      <w:r>
        <w:rPr/>
        <w:t>- Giải pháp 1:</w:t>
      </w:r>
      <w:r>
        <w:rPr>
          <w:iCs/>
        </w:rPr>
        <w:t xml:space="preserve"> </w:t>
      </w:r>
      <w:r>
        <w:rPr>
          <w:bCs/>
          <w:color w:val="000000"/>
          <w:lang w:val="vi-VN" w:eastAsia="vi-VN"/>
        </w:rPr>
        <w:t xml:space="preserve"> </w:t>
      </w:r>
      <w:r>
        <w:rPr>
          <w:color w:val="000000"/>
          <w:lang w:val="en-US"/>
        </w:rPr>
        <w:t>Quy định cụ thể các cơ quan được giao nhiệm vụ tiến hành một số hoạt động điều tra thuộc Công an nhân dân, Quân đội nhân dân, Bộ Tài chính, Bộ Nông nghiệp và Môi trường, cũng như nhiệm vụ, quyền hạn cụ thể của các cơ quan này; nhiệm vụ, quyền hạn của Công an xã, phường, đặc khu, đồn Công an trong tiếp nhận, phân loại tin về an ninh, trật tự, xác định tố giác, tin báo về tội phạm để tiếp nhận, xác minh ban đầu trước khi chuyển cho Cơ quan điều tra có thẩm quyền thụ lý, giải quyết.</w:t>
      </w:r>
    </w:p>
    <w:p>
      <w:pPr>
        <w:pStyle w:val="Normal"/>
        <w:widowControl w:val="false"/>
        <w:tabs>
          <w:tab w:val="clear" w:pos="720"/>
          <w:tab w:val="right" w:pos="7920" w:leader="none"/>
        </w:tabs>
        <w:spacing w:before="120" w:after="0"/>
        <w:jc w:val="both"/>
        <w:rPr>
          <w:lang w:val="vi-VN"/>
        </w:rPr>
      </w:pPr>
      <w:r>
        <w:rPr>
          <w:lang w:val="vi-VN"/>
        </w:rPr>
        <w:t xml:space="preserve">         </w:t>
      </w:r>
      <w:r>
        <w:rPr/>
        <w:t>- Giải pháp 2: Giữ nguyên như quy định của Luật Tổ chức cơ quan điều tra hình sự hiện hành.</w:t>
      </w:r>
      <w:r>
        <w:rPr>
          <w:lang w:val="vi-VN"/>
        </w:rPr>
        <w:t xml:space="preserve"> </w:t>
      </w:r>
    </w:p>
    <w:p>
      <w:pPr>
        <w:pStyle w:val="Normal"/>
        <w:widowControl w:val="false"/>
        <w:tabs>
          <w:tab w:val="clear" w:pos="720"/>
          <w:tab w:val="right" w:pos="7920" w:leader="none"/>
        </w:tabs>
        <w:spacing w:before="120" w:after="0"/>
        <w:ind w:firstLine="720"/>
        <w:jc w:val="both"/>
        <w:rPr/>
      </w:pPr>
      <w:r>
        <w:rPr>
          <w:b/>
          <w:bCs/>
          <w:i/>
          <w:iCs/>
        </w:rPr>
        <w:t>4.3. Các giải pháp thực hiện chính sách</w:t>
      </w:r>
    </w:p>
    <w:p>
      <w:pPr>
        <w:pStyle w:val="Normal"/>
        <w:pBdr>
          <w:top w:val="dotted" w:sz="4" w:space="0" w:color="FFFFFF"/>
          <w:left w:val="dotted" w:sz="4" w:space="0" w:color="FFFFFF"/>
          <w:bottom w:val="dotted" w:sz="4" w:space="1" w:color="FFFFFF"/>
          <w:right w:val="dotted" w:sz="4" w:space="0" w:color="FFFFFF"/>
        </w:pBdr>
        <w:shd w:val="clear" w:color="auto" w:fill="FFFFFF"/>
        <w:spacing w:before="120" w:after="0"/>
        <w:ind w:firstLine="720"/>
        <w:jc w:val="both"/>
        <w:rPr>
          <w:i/>
          <w:color w:val="000000"/>
          <w:lang w:val="vi-VN"/>
        </w:rPr>
      </w:pPr>
      <w:r>
        <w:rPr>
          <w:i/>
          <w:iCs/>
        </w:rPr>
        <w:t>a) Giải pháp 1:</w:t>
      </w:r>
      <w:r>
        <w:rPr>
          <w:i/>
          <w:color w:val="000000"/>
          <w:lang w:val="en-US"/>
        </w:rPr>
        <w:t xml:space="preserve"> Quy định cụ thể các cơ quan được giao nhiệm vụ tiến hành một số hoạt động điều tra thuộc Công an nhân dân, Quân đội nhân dân, Bộ Tài chính, Bộ Nông nghiệp và Môi trường, cũng như nhiệm vụ, quyền hạn cụ thể của các cơ quan này; nhiệm vụ, quyền hạn của Công an xã, phường, đặc khu, đồn Công an trong tiếp nhận, phân loại tin về an ninh, trật tự, xác định tố giác, tin báo về tội phạm để tiếp nhận, xác minh ban đầu trước khi chuyển cho Cơ quan điều tra có thẩm quyền thụ lý, giải quyết.</w:t>
      </w:r>
    </w:p>
    <w:p>
      <w:pPr>
        <w:pStyle w:val="Normal"/>
        <w:spacing w:before="120" w:after="0"/>
        <w:ind w:firstLine="709"/>
        <w:jc w:val="both"/>
        <w:rPr>
          <w:rFonts w:eastAsia="Courier New"/>
          <w:color w:val="000000"/>
          <w:lang w:val="en-US" w:eastAsia="en-GB"/>
        </w:rPr>
      </w:pPr>
      <w:r>
        <w:rPr>
          <w:i/>
          <w:iCs/>
        </w:rPr>
        <w:t xml:space="preserve"> </w:t>
      </w:r>
      <w:r>
        <w:rPr>
          <w:bCs/>
          <w:i/>
          <w:color w:val="000000"/>
          <w:lang w:val="vi-VN" w:eastAsia="vi-VN"/>
        </w:rPr>
        <w:t xml:space="preserve"> </w:t>
      </w:r>
      <w:r>
        <w:rPr>
          <w:rFonts w:ascii="Times New Roman Italic" w:hAnsi="Times New Roman Italic"/>
          <w:i/>
          <w:iCs/>
          <w:spacing w:val="2"/>
          <w:lang w:val="en-US"/>
        </w:rPr>
        <w:t xml:space="preserve"> </w:t>
      </w:r>
      <w:r>
        <w:rPr>
          <w:rFonts w:eastAsia="Courier New"/>
          <w:color w:val="000000"/>
          <w:lang w:val="en-US" w:eastAsia="en-GB"/>
        </w:rPr>
        <w:t>Sửa đổi, bổ sung các quy định của Luật Tổ chức cơ quan điều tra hình sự về tên gọi, tổ chức bộ máy, nhiệm vụ, quyền hạn, thẩm quyền điều tra của các cơ quan được giao nhiệm vụ tiến hành một số hoạt động điều tra; nhiệm vụ, quyền hạn của Công an xã, phường, đặc khu, đồn Công an trong tiến hành xác minh ban đầu tố giác, tin báo tội phạm bảo đảm phù hợp với yêu cầu thực tiễn theo hướng:</w:t>
      </w:r>
    </w:p>
    <w:p>
      <w:pPr>
        <w:pStyle w:val="Normal"/>
        <w:widowControl w:val="false"/>
        <w:spacing w:before="120" w:after="0"/>
        <w:ind w:firstLine="709"/>
        <w:jc w:val="both"/>
        <w:rPr>
          <w:rFonts w:eastAsia="Courier New"/>
          <w:color w:val="000000"/>
          <w:lang w:val="en-US" w:eastAsia="en-GB"/>
        </w:rPr>
      </w:pPr>
      <w:r>
        <w:rPr>
          <w:rFonts w:eastAsia="Courier New"/>
          <w:color w:val="000000"/>
          <w:lang w:val="en-US" w:eastAsia="en-GB"/>
        </w:rPr>
        <w:t>- Sửa đổi các quy định liên quan về tên gọi, tổ chức bộ máy, nhiệm vụ, quyền hạn, thẩm quyền điều tra của các cơ quan được giao nhiệm vụ tiến hành một số hoạt động điều tra (Hải quan, Kiểm lâm và Kiểm ngư…) bảo đảm phù hợp với mô hình tổ chức và tên gọi mới trên thực tế của các cơ quan này sau khi tiến hành sắp xếp, tinh gọn tổ chức bộ máy và phù hợp với chức năng, nhiệm vụ, năng lực của các cơ quan này trên thực tế.</w:t>
      </w:r>
    </w:p>
    <w:p>
      <w:pPr>
        <w:pStyle w:val="Normal"/>
        <w:widowControl w:val="false"/>
        <w:spacing w:before="120" w:after="0"/>
        <w:ind w:firstLine="709"/>
        <w:jc w:val="both"/>
        <w:rPr>
          <w:rFonts w:eastAsia="Courier New"/>
          <w:color w:val="000000"/>
          <w:lang w:val="en-US" w:eastAsia="en-GB"/>
        </w:rPr>
      </w:pPr>
      <w:r>
        <w:rPr>
          <w:rFonts w:eastAsia="Courier New"/>
          <w:color w:val="000000"/>
          <w:lang w:val="en-US" w:eastAsia="en-GB"/>
        </w:rPr>
        <w:t>- Sửa đổi, bổ sung các quy định liên quan đến tổ chức bộ máy và tên gọi của các cơ quan được giao nhiệm vụ tiến hành một số hoạt động điều tra của Công an nhân dân bảo đảm phù hợp với tên gọi và tổ chức bộ máy trên thực tế.</w:t>
      </w:r>
    </w:p>
    <w:p>
      <w:pPr>
        <w:pStyle w:val="Normal"/>
        <w:widowControl w:val="false"/>
        <w:spacing w:before="120" w:after="0"/>
        <w:ind w:firstLine="709"/>
        <w:jc w:val="both"/>
        <w:rPr>
          <w:color w:val="000000"/>
          <w:lang w:val="en-US"/>
        </w:rPr>
      </w:pPr>
      <w:r>
        <w:rPr>
          <w:color w:val="000000"/>
          <w:lang w:val="en-US"/>
        </w:rPr>
        <w:t>- Sửa đổi, hoàn thiện quy định về nhiệm vụ, quyền hạn của Công an xã, phường, đặc khu, đồn Công an trong tiến hành xác minh ban đầu tố giác, tin báo tội phạm, theo hướng bổ sung thời hạn tiếp nhận, phân loại thông tin về tin an ninh, trật tự để xác định rõ nếu là tin báo, tố giác tội phạm thì tiếp nhận, giải quyết ban đầu.</w:t>
      </w:r>
    </w:p>
    <w:p>
      <w:pPr>
        <w:pStyle w:val="Normal"/>
        <w:spacing w:before="120" w:after="0"/>
        <w:ind w:firstLine="720"/>
        <w:jc w:val="both"/>
        <w:rPr>
          <w:i/>
          <w:iCs/>
          <w:lang w:val="vi-VN"/>
        </w:rPr>
      </w:pPr>
      <w:r>
        <w:rPr>
          <w:i/>
          <w:iCs/>
        </w:rPr>
        <w:t>b) Giải pháp 2:</w:t>
      </w:r>
      <w:r>
        <w:rPr/>
        <w:t xml:space="preserve"> </w:t>
      </w:r>
      <w:r>
        <w:rPr>
          <w:i/>
          <w:iCs/>
        </w:rPr>
        <w:t>Giữ nguyên như quy định của Luật Tổ chức cơ quan điều tra hình sự hiện hành.</w:t>
      </w:r>
      <w:r>
        <w:rPr>
          <w:i/>
          <w:iCs/>
          <w:lang w:val="vi-VN"/>
        </w:rPr>
        <w:t xml:space="preserve"> </w:t>
      </w:r>
    </w:p>
    <w:p>
      <w:pPr>
        <w:pStyle w:val="Normal"/>
        <w:spacing w:before="120" w:after="0"/>
        <w:ind w:firstLine="720"/>
        <w:jc w:val="both"/>
        <w:rPr>
          <w:rFonts w:eastAsia="Courier New"/>
          <w:color w:val="000000"/>
          <w:lang w:val="en-US" w:eastAsia="en-GB"/>
        </w:rPr>
      </w:pPr>
      <w:r>
        <w:rPr>
          <w:i/>
          <w:iCs/>
        </w:rPr>
        <w:t xml:space="preserve"> </w:t>
      </w:r>
      <w:r>
        <w:rPr>
          <w:i/>
          <w:lang w:val="vi-VN"/>
        </w:rPr>
        <w:t xml:space="preserve"> </w:t>
      </w:r>
      <w:r>
        <w:rPr>
          <w:rFonts w:eastAsia="Courier New"/>
          <w:color w:val="000000"/>
          <w:lang w:val="vi-VN" w:eastAsia="en-GB"/>
        </w:rPr>
        <w:t xml:space="preserve"> </w:t>
      </w:r>
      <w:r>
        <w:rPr>
          <w:rFonts w:eastAsia="Courier New"/>
          <w:color w:val="000000"/>
          <w:lang w:val="en-US" w:eastAsia="en-GB"/>
        </w:rPr>
        <w:t>Giữ nguyên như quy định của Luật Tổ chức cơ quan điều tra hình sự hiện hành.</w:t>
      </w:r>
    </w:p>
    <w:p>
      <w:pPr>
        <w:pStyle w:val="Normal"/>
        <w:tabs>
          <w:tab w:val="clear" w:pos="720"/>
          <w:tab w:val="right" w:pos="7920" w:leader="none"/>
        </w:tabs>
        <w:spacing w:before="120" w:after="0"/>
        <w:ind w:firstLine="720"/>
        <w:jc w:val="both"/>
        <w:rPr/>
      </w:pPr>
      <w:r>
        <w:rPr>
          <w:b/>
          <w:bCs/>
          <w:i/>
          <w:iCs/>
        </w:rPr>
        <w:t>4.4. Giải pháp tối ưu được lựa chọn và lý do lựa chọn</w:t>
      </w:r>
    </w:p>
    <w:p>
      <w:pPr>
        <w:pStyle w:val="Normal"/>
        <w:spacing w:before="120" w:after="0"/>
        <w:ind w:firstLine="720"/>
        <w:jc w:val="both"/>
        <w:rPr>
          <w:rFonts w:eastAsia="Courier New" w:cs="Courier New"/>
          <w:color w:val="000000"/>
          <w:spacing w:val="-2"/>
          <w:lang w:val="en-US" w:eastAsia="vi-VN"/>
        </w:rPr>
      </w:pPr>
      <w:r>
        <w:rPr>
          <w:rFonts w:eastAsia="Courier New" w:cs="Courier New"/>
          <w:color w:val="000000"/>
          <w:spacing w:val="-2"/>
          <w:lang w:val="vi-VN" w:eastAsia="vi-VN"/>
        </w:rPr>
        <w:t xml:space="preserve"> </w:t>
      </w:r>
      <w:r>
        <w:rPr>
          <w:rFonts w:eastAsia="Courier New" w:cs="Courier New"/>
          <w:color w:val="000000"/>
          <w:spacing w:val="-2"/>
          <w:lang w:val="vi-VN" w:eastAsia="vi-VN"/>
        </w:rPr>
        <w:t>Trên cơ sở phân tích,</w:t>
      </w:r>
      <w:r>
        <w:rPr>
          <w:rFonts w:eastAsia="Courier New" w:cs="Courier New"/>
          <w:color w:val="000000"/>
          <w:spacing w:val="-2"/>
          <w:lang w:val="en-US" w:eastAsia="vi-VN"/>
        </w:rPr>
        <w:t xml:space="preserve"> s</w:t>
      </w:r>
      <w:r>
        <w:rPr>
          <w:rFonts w:eastAsia="Courier New" w:cs="Courier New"/>
          <w:color w:val="000000"/>
          <w:spacing w:val="-2"/>
          <w:lang w:val="vi-VN" w:eastAsia="vi-VN"/>
        </w:rPr>
        <w:t>o sánh</w:t>
      </w:r>
      <w:r>
        <w:rPr>
          <w:rFonts w:eastAsia="Courier New" w:cs="Courier New"/>
          <w:color w:val="000000"/>
          <w:spacing w:val="-2"/>
          <w:lang w:val="en-US" w:eastAsia="vi-VN"/>
        </w:rPr>
        <w:t>, đánh giá tác động</w:t>
      </w:r>
      <w:r>
        <w:rPr>
          <w:rFonts w:eastAsia="Courier New" w:cs="Courier New"/>
          <w:color w:val="000000"/>
          <w:spacing w:val="-2"/>
          <w:lang w:val="vi-VN" w:eastAsia="vi-VN"/>
        </w:rPr>
        <w:t xml:space="preserve"> </w:t>
      </w:r>
      <w:r>
        <w:rPr>
          <w:rFonts w:eastAsia="Courier New" w:cs="Courier New"/>
          <w:color w:val="000000"/>
          <w:spacing w:val="-2"/>
          <w:lang w:val="en-US" w:eastAsia="vi-VN"/>
        </w:rPr>
        <w:t>c</w:t>
      </w:r>
      <w:r>
        <w:rPr>
          <w:rFonts w:eastAsia="Courier New" w:cs="Courier New"/>
          <w:color w:val="000000"/>
          <w:spacing w:val="-2"/>
          <w:lang w:val="vi-VN" w:eastAsia="vi-VN"/>
        </w:rPr>
        <w:t xml:space="preserve">ủa các giải pháp, Bộ Công an đề nghị lựa chọn </w:t>
      </w:r>
      <w:r>
        <w:rPr>
          <w:rFonts w:eastAsia="Courier New" w:cs="Courier New"/>
          <w:color w:val="000000"/>
          <w:spacing w:val="-2"/>
          <w:lang w:val="en-US" w:eastAsia="vi-VN"/>
        </w:rPr>
        <w:t>g</w:t>
      </w:r>
      <w:r>
        <w:rPr>
          <w:rFonts w:eastAsia="Courier New" w:cs="Courier New"/>
          <w:color w:val="000000"/>
          <w:spacing w:val="-2"/>
          <w:lang w:val="vi-VN" w:eastAsia="vi-VN"/>
        </w:rPr>
        <w:t>iải pháp</w:t>
      </w:r>
      <w:r>
        <w:rPr>
          <w:rFonts w:eastAsia="Courier New" w:cs="Courier New"/>
          <w:color w:val="000000"/>
          <w:spacing w:val="-2"/>
          <w:lang w:val="en-US" w:eastAsia="vi-VN"/>
        </w:rPr>
        <w:t xml:space="preserve"> 1 đó là tiến hành sửa đổi, bổ sung các quy định của Luật Tổ chức cơ quan điều tra hình sự về tên gọi, tổ chức bộ máy, nhiệm vụ, quyền hạn, thẩm quyền điều tra của các cơ quan được giao nhiệm vụ tiến hành một số hoạt động điều tra và nhiệm vụ, quyền hạn của Công an xã, phường, đặc khu, đồn Công an; từ đó giúp hoàn thiện các quy định về tổ chức bộ máy, hoạt động của các cơ quan này bảo đảm phù hợp với các văn bản pháp luật có liên quan và mô hình tổ chức, tên gọi mới trên thực tế của các cơ quan sau khi tiến hành sắp xếp, tinh gọn tổ chức bộ máy cũng như việc thực hiện các nhiệm vụ, năng lực của các cơ quan này trên thực tế. Qua đó góp phần hoàn thiện, tạo cơ sở pháp lý đầy đủ, thống nhất, đồng bộ của hệ thống pháp luật, góp phần nâng cao hiệu quả công tác trong thực hiện nhiệm vụ điều tra hình sự, đấu tranh phòng, chống tội phạm trong tình hình mới.</w:t>
      </w:r>
    </w:p>
    <w:p>
      <w:pPr>
        <w:pStyle w:val="Normal"/>
        <w:widowControl w:val="false"/>
        <w:spacing w:before="120" w:after="0"/>
        <w:ind w:firstLine="709"/>
        <w:jc w:val="both"/>
        <w:rPr/>
      </w:pPr>
      <w:r>
        <w:rPr>
          <w:b/>
          <w:bCs/>
        </w:rPr>
        <w:t>VI. DỰ KIẾN NGUỒN LỰC, ĐIỀU KIỆN BẢO ĐẢM CHO VIỆC THỰC HIỆN CHÍNH SÁCH</w:t>
      </w:r>
    </w:p>
    <w:p>
      <w:pPr>
        <w:pStyle w:val="Normal"/>
        <w:widowControl w:val="false"/>
        <w:spacing w:before="120" w:after="0"/>
        <w:ind w:firstLine="709"/>
        <w:jc w:val="both"/>
        <w:rPr/>
      </w:pPr>
      <w:r>
        <w:rPr>
          <w:b/>
          <w:bCs/>
        </w:rPr>
        <w:t>1.</w:t>
      </w:r>
      <w:r>
        <w:rPr/>
        <w:t xml:space="preserve"> Để bảo đảm thực hiện các chính sách của Luật Tổ chức cơ quan điều tra hình sự (sửa đổi), cần bảo đảm các nguồn lực sau đây:</w:t>
      </w:r>
    </w:p>
    <w:p>
      <w:pPr>
        <w:pStyle w:val="Normal"/>
        <w:widowControl w:val="false"/>
        <w:spacing w:before="120" w:after="0"/>
        <w:ind w:firstLine="709"/>
        <w:jc w:val="both"/>
        <w:rPr>
          <w:spacing w:val="-2"/>
        </w:rPr>
      </w:pPr>
      <w:r>
        <w:rPr>
          <w:spacing w:val="-2"/>
        </w:rPr>
        <w:t>- Kinh phí tuyên truyền, phổ biến Luật Tổ chức cơ quan điều tra hình sự sau khi được Quốc hội thông qua (biên soạn tài liệu, tổ chức hội nghị tập huấn trong cơ quan có chức năng</w:t>
      </w:r>
      <w:r>
        <w:rPr>
          <w:spacing w:val="-2"/>
          <w:lang w:val="vi-VN"/>
        </w:rPr>
        <w:t xml:space="preserve"> điều tra, truy tố, xét xử</w:t>
      </w:r>
      <w:r>
        <w:rPr>
          <w:spacing w:val="-2"/>
        </w:rPr>
        <w:t>, phổ biến đến quần chúng nhân dân) khoảng 3.000.000.000 đồng;</w:t>
      </w:r>
    </w:p>
    <w:p>
      <w:pPr>
        <w:pStyle w:val="Normal"/>
        <w:widowControl w:val="false"/>
        <w:spacing w:before="120" w:after="0"/>
        <w:ind w:firstLine="709"/>
        <w:jc w:val="both"/>
        <w:rPr/>
      </w:pPr>
      <w:r>
        <w:rPr/>
        <w:t>- Kinh phí để xây dựng các văn bản quy định chi tiết và hướng dẫn thi hành Luật sau khi được ban hành;</w:t>
      </w:r>
    </w:p>
    <w:p>
      <w:pPr>
        <w:pStyle w:val="Normal"/>
        <w:widowControl w:val="false"/>
        <w:spacing w:before="120" w:after="0"/>
        <w:ind w:firstLine="709"/>
        <w:jc w:val="both"/>
        <w:rPr/>
      </w:pPr>
      <w:r>
        <w:rPr/>
        <w:t>Đây là các khoản chi phí cần thiết và tất yếu để triển khai thi hành Luật Tổ chức cơ quan điều tra hình sự. Nguồn kinh phí bảo đảm chi phí nêu trên sẽ được cân đối từ nguồn kinh phí thường xuyên từ ngân sách Nhà nước và nguồn kinh phí hợp pháp khác; ngân sách nhà nước bảo đảm trên thực tế là không lớn và khả thi.</w:t>
      </w:r>
    </w:p>
    <w:p>
      <w:pPr>
        <w:pStyle w:val="Normal"/>
        <w:widowControl w:val="false"/>
        <w:spacing w:before="120" w:after="0"/>
        <w:ind w:firstLine="709"/>
        <w:jc w:val="both"/>
        <w:rPr/>
      </w:pPr>
      <w:r>
        <w:rPr>
          <w:b/>
          <w:bCs/>
        </w:rPr>
        <w:t>2.</w:t>
      </w:r>
      <w:r>
        <w:rPr/>
        <w:t xml:space="preserve"> Để bảo đảm triển khai thi hành Luật Tổ chức cơ quan điều tra hình sự sau khi được Quốc hội thông qua, về nguồn nhân lực bảo đảm là đội ngũ nhân lực hiện đang được giao thực hiện các nhiệm vụ này, không làm tăng tổ chức bộ máy và biên chế hưởng lương từ ngân sách nhà nước.</w:t>
      </w:r>
    </w:p>
    <w:p>
      <w:pPr>
        <w:pStyle w:val="Normal"/>
        <w:widowControl w:val="false"/>
        <w:spacing w:before="120" w:after="0"/>
        <w:ind w:firstLine="709"/>
        <w:jc w:val="both"/>
        <w:rPr/>
      </w:pPr>
      <w:r>
        <w:rPr>
          <w:b/>
          <w:bCs/>
        </w:rPr>
        <w:t>VII. THỜI GIAN DỰ KIẾN TRÌNH QUỐC HỘI DỰ ÁN LUẬT</w:t>
      </w:r>
    </w:p>
    <w:p>
      <w:pPr>
        <w:pStyle w:val="Normal"/>
        <w:spacing w:before="120" w:after="0"/>
        <w:ind w:firstLine="709"/>
        <w:jc w:val="both"/>
        <w:rPr/>
      </w:pPr>
      <w:r>
        <w:rPr/>
        <w:t>Dự án Luật Tổ chức cơ quan điều tra hình sự (sửa đổi) dự kiến trình Quốc hội cho ý kiến và thông qua tại Kỳ họp thứ 2 Quốc hội khoá XVI.</w:t>
      </w:r>
    </w:p>
    <w:p>
      <w:pPr>
        <w:pStyle w:val="Normal"/>
        <w:widowControl w:val="false"/>
        <w:spacing w:before="120" w:after="0"/>
        <w:ind w:firstLine="709"/>
        <w:jc w:val="both"/>
        <w:rPr/>
      </w:pPr>
      <w:r>
        <w:rPr/>
        <w:t>Trên đây là Tờ trình chính sách về dự án Luật Tổ chức cơ quan điều tra hình sự (sửa đổi), Bộ Công an xin kính trình Chính phủ xem xét, quyết định./.</w:t>
      </w:r>
    </w:p>
    <w:p>
      <w:pPr>
        <w:pStyle w:val="Normal"/>
        <w:spacing w:before="120" w:after="0"/>
        <w:ind w:firstLine="709"/>
        <w:jc w:val="both"/>
        <w:rPr>
          <w:rFonts w:ascii="Times New Roman Italic" w:hAnsi="Times New Roman Italic"/>
          <w:i/>
          <w:iCs/>
        </w:rPr>
      </w:pPr>
      <w:r>
        <w:rPr>
          <w:rFonts w:ascii="Times New Roman Italic" w:hAnsi="Times New Roman Italic"/>
          <w:i/>
          <w:iCs/>
        </w:rPr>
        <w:t>(Xin gửi kèm theo: (1) Báo cáo đánh giá tác động của chính sách của dự án Luật Tổ chức cơ quan điều tra hình sự (sửa đổi); (2) Báo cáo rà soát các chủ trương, đường lối của Đảng, văn bản quy phạm pháp luật, điều ước quốc tế có liên quan đến chính sách; (3) Báo cáo tổng kết thực tiễn thi hành Luật Tổ chức cơ quan điều tra hình sự năm 2015; (4) Bản thuyết minh quy phạm hóa chính sách; (5) Bản tổng hợp ý kiến, tiếp thu, giải trình ý kiến góp ý, tham vấn; (6) Báo cáo thẩm định số      /BCTĐ-BTP ngày ….. của Bộ Tư pháp về thẩm định chính sách của dự án hành Luật Tổ chức cơ quan điều tra hình sự Hình sự (sửa đổi); (7) Báo cáo của Bộ Công an tiếp thu, giải trình ý kiến thẩm định của Bộ Tư pháp đối với chính sách của dự án Luật Tổ chức cơ quan điều tra hình sự (sửa đổi))</w:t>
      </w:r>
    </w:p>
    <w:p>
      <w:pPr>
        <w:pStyle w:val="Normal"/>
        <w:spacing w:lineRule="auto" w:line="264" w:before="120" w:after="0"/>
        <w:ind w:firstLine="709"/>
        <w:jc w:val="both"/>
        <w:rPr/>
      </w:pPr>
      <w:r>
        <w:rPr/>
      </w:r>
    </w:p>
    <w:tbl>
      <w:tblPr>
        <w:tblStyle w:val="a0"/>
        <w:tblW w:w="9038" w:type="dxa"/>
        <w:jc w:val="left"/>
        <w:tblInd w:w="142" w:type="dxa"/>
        <w:tblLayout w:type="fixed"/>
        <w:tblCellMar>
          <w:top w:w="0" w:type="dxa"/>
          <w:left w:w="108" w:type="dxa"/>
          <w:bottom w:w="0" w:type="dxa"/>
          <w:right w:w="108" w:type="dxa"/>
        </w:tblCellMar>
        <w:tblLook w:val="0000" w:firstRow="0" w:noVBand="0" w:lastRow="0" w:firstColumn="0" w:lastColumn="0" w:noHBand="0"/>
      </w:tblPr>
      <w:tblGrid>
        <w:gridCol w:w="5102"/>
        <w:gridCol w:w="3936"/>
      </w:tblGrid>
      <w:tr>
        <w:trPr/>
        <w:tc>
          <w:tcPr>
            <w:tcW w:w="5102" w:type="dxa"/>
            <w:tcBorders/>
          </w:tcPr>
          <w:p>
            <w:pPr>
              <w:pStyle w:val="Normal"/>
              <w:keepNext w:val="true"/>
              <w:widowControl w:val="false"/>
              <w:rPr>
                <w:sz w:val="24"/>
                <w:szCs w:val="24"/>
              </w:rPr>
            </w:pPr>
            <w:r>
              <w:rPr>
                <w:b/>
                <w:bCs/>
                <w:i/>
                <w:iCs/>
                <w:sz w:val="24"/>
                <w:szCs w:val="24"/>
              </w:rPr>
              <w:t>Nơi nhận</w:t>
            </w:r>
            <w:r>
              <w:rPr>
                <w:b/>
                <w:bCs/>
                <w:sz w:val="24"/>
                <w:szCs w:val="24"/>
              </w:rPr>
              <w:t>:</w:t>
            </w:r>
          </w:p>
          <w:p>
            <w:pPr>
              <w:pStyle w:val="Normal"/>
              <w:keepNext w:val="true"/>
              <w:widowControl w:val="false"/>
              <w:jc w:val="both"/>
              <w:rPr>
                <w:sz w:val="22"/>
                <w:szCs w:val="22"/>
              </w:rPr>
            </w:pPr>
            <w:r>
              <w:rPr>
                <w:sz w:val="22"/>
                <w:szCs w:val="22"/>
              </w:rPr>
              <w:t>- Như trên;</w:t>
            </w:r>
          </w:p>
          <w:p>
            <w:pPr>
              <w:pStyle w:val="Normal"/>
              <w:keepNext w:val="true"/>
              <w:widowControl w:val="false"/>
              <w:jc w:val="both"/>
              <w:rPr>
                <w:sz w:val="22"/>
                <w:szCs w:val="22"/>
              </w:rPr>
            </w:pPr>
            <w:r>
              <w:rPr>
                <w:sz w:val="22"/>
                <w:szCs w:val="22"/>
              </w:rPr>
              <w:t>- Thủ tướng Chính phủ, các Phó Thủ tướng Chính phủ (để báo cáo);</w:t>
            </w:r>
          </w:p>
          <w:p>
            <w:pPr>
              <w:pStyle w:val="Normal"/>
              <w:keepNext w:val="true"/>
              <w:widowControl w:val="false"/>
              <w:tabs>
                <w:tab w:val="clear" w:pos="720"/>
                <w:tab w:val="left" w:pos="3323" w:leader="none"/>
              </w:tabs>
              <w:jc w:val="both"/>
              <w:rPr>
                <w:sz w:val="22"/>
                <w:szCs w:val="22"/>
              </w:rPr>
            </w:pPr>
            <w:r>
              <w:rPr>
                <w:sz w:val="22"/>
                <w:szCs w:val="22"/>
              </w:rPr>
              <w:t>- Văn phòng Quốc hội;</w:t>
            </w:r>
          </w:p>
          <w:p>
            <w:pPr>
              <w:pStyle w:val="Normal"/>
              <w:keepNext w:val="true"/>
              <w:widowControl w:val="false"/>
              <w:jc w:val="both"/>
              <w:rPr>
                <w:sz w:val="22"/>
                <w:szCs w:val="22"/>
              </w:rPr>
            </w:pPr>
            <w:r>
              <w:rPr>
                <w:sz w:val="22"/>
                <w:szCs w:val="22"/>
              </w:rPr>
              <w:t>- Văn phòng Chính phủ;</w:t>
            </w:r>
          </w:p>
          <w:p>
            <w:pPr>
              <w:pStyle w:val="Normal"/>
              <w:keepNext w:val="true"/>
              <w:widowControl w:val="false"/>
              <w:jc w:val="both"/>
              <w:rPr>
                <w:sz w:val="22"/>
                <w:szCs w:val="22"/>
              </w:rPr>
            </w:pPr>
            <w:r>
              <w:rPr>
                <w:sz w:val="22"/>
                <w:szCs w:val="22"/>
              </w:rPr>
              <w:t>- Bộ Tư pháp;</w:t>
            </w:r>
          </w:p>
          <w:p>
            <w:pPr>
              <w:pStyle w:val="Normal"/>
              <w:keepNext w:val="true"/>
              <w:widowControl w:val="false"/>
              <w:jc w:val="both"/>
              <w:rPr/>
            </w:pPr>
            <w:r>
              <w:rPr>
                <w:sz w:val="22"/>
                <w:szCs w:val="22"/>
              </w:rPr>
              <w:t>- Lưu VT, V03 (P2).</w:t>
            </w:r>
          </w:p>
        </w:tc>
        <w:tc>
          <w:tcPr>
            <w:tcW w:w="3936" w:type="dxa"/>
            <w:tcBorders/>
          </w:tcPr>
          <w:p>
            <w:pPr>
              <w:pStyle w:val="Normal"/>
              <w:keepNext w:val="true"/>
              <w:widowControl w:val="false"/>
              <w:jc w:val="center"/>
              <w:rPr/>
            </w:pPr>
            <w:r>
              <w:rPr>
                <w:b/>
                <w:bCs/>
              </w:rPr>
              <w:t>BỘ TRƯỞNG</w:t>
            </w:r>
          </w:p>
          <w:p>
            <w:pPr>
              <w:pStyle w:val="Normal"/>
              <w:keepNext w:val="true"/>
              <w:widowControl w:val="false"/>
              <w:jc w:val="center"/>
              <w:rPr/>
            </w:pPr>
            <w:r>
              <w:rPr/>
            </w:r>
          </w:p>
          <w:p>
            <w:pPr>
              <w:pStyle w:val="Normal"/>
              <w:keepNext w:val="true"/>
              <w:widowControl w:val="false"/>
              <w:ind w:hanging="357" w:left="538"/>
              <w:jc w:val="center"/>
              <w:rPr/>
            </w:pPr>
            <w:r>
              <w:rPr/>
            </w:r>
          </w:p>
          <w:p>
            <w:pPr>
              <w:pStyle w:val="Normal"/>
              <w:keepNext w:val="true"/>
              <w:widowControl w:val="false"/>
              <w:ind w:firstLine="567"/>
              <w:jc w:val="center"/>
              <w:rPr/>
            </w:pPr>
            <w:r>
              <w:rPr/>
            </w:r>
          </w:p>
          <w:p>
            <w:pPr>
              <w:pStyle w:val="Normal"/>
              <w:keepNext w:val="true"/>
              <w:widowControl w:val="false"/>
              <w:ind w:firstLine="567"/>
              <w:jc w:val="center"/>
              <w:rPr/>
            </w:pPr>
            <w:r>
              <w:rPr/>
            </w:r>
          </w:p>
          <w:p>
            <w:pPr>
              <w:pStyle w:val="Normal"/>
              <w:keepNext w:val="true"/>
              <w:widowControl w:val="false"/>
              <w:rPr/>
            </w:pPr>
            <w:r>
              <w:rPr/>
            </w:r>
          </w:p>
          <w:p>
            <w:pPr>
              <w:pStyle w:val="Normal"/>
              <w:keepNext w:val="true"/>
              <w:widowControl w:val="false"/>
              <w:jc w:val="center"/>
              <w:rPr/>
            </w:pPr>
            <w:r>
              <w:rPr>
                <w:b/>
                <w:bCs/>
              </w:rPr>
              <w:t>Đại tướng Lương Tam Quang</w:t>
            </w:r>
          </w:p>
          <w:p>
            <w:pPr>
              <w:pStyle w:val="Normal"/>
              <w:keepNext w:val="true"/>
              <w:widowControl w:val="false"/>
              <w:ind w:firstLine="567" w:left="283"/>
              <w:jc w:val="center"/>
              <w:rPr/>
            </w:pPr>
            <w:r>
              <w:rPr/>
            </w:r>
          </w:p>
          <w:p>
            <w:pPr>
              <w:pStyle w:val="Normal"/>
              <w:keepNext w:val="true"/>
              <w:widowControl w:val="false"/>
              <w:jc w:val="center"/>
              <w:rPr>
                <w:b/>
                <w:bCs/>
              </w:rPr>
            </w:pPr>
            <w:r>
              <w:rPr/>
            </w:r>
          </w:p>
        </w:tc>
      </w:tr>
    </w:tbl>
    <w:p>
      <w:pPr>
        <w:pStyle w:val="Normal"/>
        <w:spacing w:before="1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9" w:top="1134" w:footer="459" w:bottom="1134"/>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ambria">
    <w:charset w:val="00"/>
    <w:family w:val="roman"/>
    <w:pitch w:val="variable"/>
  </w:font>
  <w:font w:name="Calibri Light">
    <w:charset w:val="00"/>
    <w:family w:val="swiss"/>
    <w:pitch w:val="variable"/>
    <w:embedRegular r:id="rId1" w:fontKey="{01014A78-CABC-4EF0-12AC-5CD89AEFDE01}"/>
  </w:font>
  <w:font w:name="Tahoma">
    <w:charset w:val="00"/>
    <w:family w:val="swiss"/>
    <w:pitch w:val="variable"/>
  </w:font>
  <w:font w:name="Liberation Sans">
    <w:altName w:val="Arial"/>
    <w:charset w:val="00"/>
    <w:family w:val="swiss"/>
    <w:pitch w:val="variable"/>
  </w:font>
  <w:font w:name="Georgia">
    <w:charset w:val="00"/>
    <w:family w:val="roman"/>
    <w:pitch w:val="variable"/>
    <w:embedRegular r:id="rId2" w:fontKey="{02014A78-CABC-4EF0-12AC-5CD89AEFDE02}"/>
    <w:embedBold r:id="rId3" w:fontKey="{03014A78-CABC-4EF0-12AC-5CD89AEFDE03}"/>
    <w:embedItalic r:id="rId4" w:fontKey="{04014A78-CABC-4EF0-12AC-5CD89AEFDE04}"/>
    <w:embedBoldItalic r:id="rId5" w:fontKey="{05014A78-CABC-4EF0-12AC-5CD89AEFDE05}"/>
  </w:font>
  <w:font w:name="Courier New">
    <w:charset w:val="00"/>
    <w:family w:val="roman"/>
    <w:pitch w:val="variable"/>
  </w:font>
  <w:font w:name="Times New Roman Italic">
    <w:charset w:val="00"/>
    <w:family w:val="roman"/>
    <w:pitch w:val="variable"/>
  </w:font>
  <w:font w:name="Times New Roman Bol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before="120" w:after="120"/>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pPr>
      <w:pStyle w:val="Normal"/>
      <w:pBdr/>
      <w:spacing w:before="120" w:after="120"/>
      <w:jc w:val="both"/>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before="120" w:after="120"/>
      <w:jc w:val="center"/>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120"/>
      <w:ind w:hangingChars="1" w:leftChars="-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jc w:val="center"/>
      <w:rPr>
        <w:color w:val="000000"/>
        <w:lang w:val="vi-VN"/>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Chars="1" w:leftChars="-1"/>
      <w:rPr/>
    </w:pPr>
    <w:r>
      <w:rPr/>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qFormat/>
    <w:pPr>
      <w:keepNext w:val="true"/>
      <w:spacing w:before="240" w:after="60"/>
      <w:outlineLvl w:val="0"/>
    </w:pPr>
    <w:rPr>
      <w:rFonts w:ascii="Calibri" w:hAnsi="Calibri" w:eastAsia="Calibri" w:cs="Calibri"/>
      <w:b/>
      <w:bCs/>
      <w:sz w:val="32"/>
      <w:szCs w:val="32"/>
    </w:rPr>
  </w:style>
  <w:style w:type="paragraph" w:styleId="Heading2">
    <w:name w:val="heading 2"/>
    <w:basedOn w:val="Normal"/>
    <w:next w:val="Normal"/>
    <w:qFormat/>
    <w:pPr>
      <w:keepNext w:val="true"/>
      <w:spacing w:before="240" w:after="60"/>
      <w:outlineLvl w:val="1"/>
    </w:pPr>
    <w:rPr>
      <w:rFonts w:ascii="Cambria" w:hAnsi="Cambria" w:eastAsia="Cambria" w:cs="Cambria"/>
      <w:b/>
      <w:bCs/>
      <w:i/>
      <w:iCs/>
    </w:rPr>
  </w:style>
  <w:style w:type="paragraph" w:styleId="Heading3">
    <w:name w:val="heading 3"/>
    <w:basedOn w:val="Normal"/>
    <w:next w:val="Normal"/>
    <w:qFormat/>
    <w:pPr>
      <w:keepNext w:val="true"/>
      <w:keepLines/>
      <w:spacing w:before="280" w:after="80"/>
      <w:outlineLvl w:val="2"/>
    </w:pPr>
    <w:rPr>
      <w:b/>
      <w:bCs/>
    </w:rPr>
  </w:style>
  <w:style w:type="paragraph" w:styleId="Heading4">
    <w:name w:val="heading 4"/>
    <w:basedOn w:val="Normal"/>
    <w:next w:val="Normal"/>
    <w:qFormat/>
    <w:pPr>
      <w:keepNext w:val="true"/>
      <w:keepLines/>
      <w:spacing w:before="240" w:after="40"/>
      <w:outlineLvl w:val="3"/>
    </w:pPr>
    <w:rPr>
      <w:b/>
      <w:bCs/>
      <w:sz w:val="24"/>
      <w:szCs w:val="24"/>
    </w:rPr>
  </w:style>
  <w:style w:type="paragraph" w:styleId="Heading5">
    <w:name w:val="heading 5"/>
    <w:basedOn w:val="Normal"/>
    <w:next w:val="Normal"/>
    <w:qFormat/>
    <w:pPr>
      <w:keepNext w:val="true"/>
      <w:keepLines/>
      <w:spacing w:before="220" w:after="40"/>
      <w:outlineLvl w:val="4"/>
    </w:pPr>
    <w:rPr>
      <w:b/>
      <w:bCs/>
      <w:sz w:val="22"/>
      <w:szCs w:val="22"/>
    </w:rPr>
  </w:style>
  <w:style w:type="paragraph" w:styleId="Heading6">
    <w:name w:val="heading 6"/>
    <w:basedOn w:val="Normal"/>
    <w:next w:val="Normal"/>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qFormat/>
    <w:rPr>
      <w:rFonts w:ascii="Calibri Light" w:hAnsi="Calibri Light" w:eastAsia="Times New Roman" w:cs="Times New Roman"/>
      <w:b/>
      <w:bCs/>
      <w:spacing w:val="-2"/>
      <w:w w:val="100"/>
      <w:kern w:val="2"/>
      <w:position w:val="0"/>
      <w:sz w:val="32"/>
      <w:szCs w:val="32"/>
      <w:effect w:val="none"/>
      <w:vertAlign w:val="baseline"/>
      <w:em w:val="none"/>
    </w:rPr>
  </w:style>
  <w:style w:type="character" w:styleId="FooterChar" w:customStyle="1">
    <w:name w:val="Footer Char"/>
    <w:qFormat/>
    <w:rPr>
      <w:rFonts w:ascii="Times New Roman" w:hAnsi="Times New Roman" w:eastAsia="Calibri" w:cs="Times New Roman"/>
      <w:w w:val="100"/>
      <w:position w:val="0"/>
      <w:sz w:val="28"/>
      <w:effect w:val="none"/>
      <w:vertAlign w:val="baseline"/>
      <w:em w:val="none"/>
    </w:rPr>
  </w:style>
  <w:style w:type="character" w:styleId="PageNumber">
    <w:name w:val="page number"/>
    <w:basedOn w:val="DefaultParagraphFont"/>
    <w:rPr>
      <w:w w:val="100"/>
      <w:position w:val="0"/>
      <w:sz w:val="28"/>
      <w:effect w:val="none"/>
      <w:vertAlign w:val="baseline"/>
      <w:em w:val="none"/>
    </w:rPr>
  </w:style>
  <w:style w:type="character" w:styleId="HeaderChar" w:customStyle="1">
    <w:name w:val="Header Char"/>
    <w:qFormat/>
    <w:rPr>
      <w:rFonts w:ascii="Times New Roman" w:hAnsi="Times New Roman" w:eastAsia="Times New Roman" w:cs="Times New Roman"/>
      <w:b/>
      <w:spacing w:val="-2"/>
      <w:w w:val="100"/>
      <w:position w:val="0"/>
      <w:sz w:val="28"/>
      <w:szCs w:val="28"/>
      <w:effect w:val="none"/>
      <w:vertAlign w:val="baseline"/>
      <w:em w:val="none"/>
    </w:rPr>
  </w:style>
  <w:style w:type="character" w:styleId="Bodytext2" w:customStyle="1">
    <w:name w:val="Body text (2)_"/>
    <w:qFormat/>
    <w:rPr>
      <w:w w:val="100"/>
      <w:position w:val="0"/>
      <w:sz w:val="26"/>
      <w:szCs w:val="26"/>
      <w:effect w:val="none"/>
      <w:shd w:fill="FFFFFF" w:val="clear"/>
      <w:vertAlign w:val="baseline"/>
      <w:em w:val="none"/>
    </w:rPr>
  </w:style>
  <w:style w:type="character" w:styleId="Bodytext4" w:customStyle="1">
    <w:name w:val="Body text (4)_"/>
    <w:qFormat/>
    <w:rPr>
      <w:b/>
      <w:bCs/>
      <w:i/>
      <w:iCs/>
      <w:w w:val="100"/>
      <w:position w:val="0"/>
      <w:sz w:val="26"/>
      <w:szCs w:val="26"/>
      <w:effect w:val="none"/>
      <w:shd w:fill="FFFFFF" w:val="clear"/>
      <w:vertAlign w:val="baseline"/>
      <w:em w:val="none"/>
    </w:rPr>
  </w:style>
  <w:style w:type="character" w:styleId="Emphasis">
    <w:name w:val="Emphasis"/>
    <w:qFormat/>
    <w:rPr>
      <w:i/>
      <w:iCs/>
      <w:w w:val="100"/>
      <w:position w:val="0"/>
      <w:sz w:val="28"/>
      <w:effect w:val="none"/>
      <w:vertAlign w:val="baseline"/>
      <w:em w:val="none"/>
    </w:rPr>
  </w:style>
  <w:style w:type="character" w:styleId="BalloonTextChar" w:customStyle="1">
    <w:name w:val="Balloon Text Char"/>
    <w:qFormat/>
    <w:rPr>
      <w:rFonts w:ascii="Tahoma" w:hAnsi="Tahoma" w:eastAsia="Times New Roman" w:cs="Tahoma"/>
      <w:spacing w:val="-2"/>
      <w:w w:val="100"/>
      <w:position w:val="0"/>
      <w:sz w:val="16"/>
      <w:szCs w:val="16"/>
      <w:effect w:val="none"/>
      <w:vertAlign w:val="baseline"/>
      <w:em w:val="none"/>
      <w:lang w:val="en-US"/>
    </w:rPr>
  </w:style>
  <w:style w:type="character" w:styleId="Vnbnnidung" w:customStyle="1">
    <w:name w:val="Văn bản nội dung_"/>
    <w:qFormat/>
    <w:rPr>
      <w:rFonts w:ascii="Times New Roman" w:hAnsi="Times New Roman" w:eastAsia="Times New Roman" w:cs="Times New Roman"/>
      <w:w w:val="100"/>
      <w:position w:val="0"/>
      <w:sz w:val="26"/>
      <w:szCs w:val="26"/>
      <w:effect w:val="none"/>
      <w:vertAlign w:val="baseline"/>
      <w:em w:val="none"/>
    </w:rPr>
  </w:style>
  <w:style w:type="character" w:styleId="utranghocchntrang2" w:customStyle="1">
    <w:name w:val="Đầu trang hoặc chân trang (2)_"/>
    <w:qFormat/>
    <w:rPr>
      <w:rFonts w:ascii="Times New Roman" w:hAnsi="Times New Roman" w:eastAsia="Times New Roman" w:cs="Times New Roman"/>
      <w:w w:val="100"/>
      <w:position w:val="0"/>
      <w:sz w:val="20"/>
      <w:szCs w:val="20"/>
      <w:effect w:val="none"/>
      <w:vertAlign w:val="baseline"/>
      <w:em w:val="none"/>
    </w:rPr>
  </w:style>
  <w:style w:type="character" w:styleId="Heading2Char" w:customStyle="1">
    <w:name w:val="Heading 2 Char"/>
    <w:qFormat/>
    <w:rPr>
      <w:rFonts w:ascii="Cambria" w:hAnsi="Cambria" w:eastAsia="Times New Roman" w:cs="Times New Roman"/>
      <w:b/>
      <w:bCs/>
      <w:i/>
      <w:iCs/>
      <w:spacing w:val="-2"/>
      <w:w w:val="100"/>
      <w:position w:val="0"/>
      <w:sz w:val="28"/>
      <w:szCs w:val="28"/>
      <w:effect w:val="none"/>
      <w:vertAlign w:val="baseline"/>
      <w:em w:val="none"/>
    </w:rPr>
  </w:style>
  <w:style w:type="character" w:styleId="Bodytext2Italic" w:customStyle="1">
    <w:name w:val="Body text (2) + Italic"/>
    <w:qFormat/>
    <w:rPr>
      <w:i/>
      <w:iCs/>
      <w:w w:val="100"/>
      <w:position w:val="0"/>
      <w:sz w:val="26"/>
      <w:szCs w:val="26"/>
      <w:effect w:val="none"/>
      <w:shd w:fill="FFFFFF" w:val="clear"/>
      <w:vertAlign w:val="baseline"/>
      <w:em w:val="none"/>
    </w:rPr>
  </w:style>
  <w:style w:type="character" w:styleId="Bodytext3" w:customStyle="1">
    <w:name w:val="Body text (3)_"/>
    <w:qFormat/>
    <w:rPr>
      <w:b/>
      <w:bCs/>
      <w:w w:val="100"/>
      <w:position w:val="0"/>
      <w:sz w:val="26"/>
      <w:szCs w:val="26"/>
      <w:effect w:val="none"/>
      <w:shd w:fill="FFFFFF" w:val="clear"/>
      <w:vertAlign w:val="baseline"/>
      <w:em w:val="none"/>
    </w:rPr>
  </w:style>
  <w:style w:type="character" w:styleId="Bodytext3Italic" w:customStyle="1">
    <w:name w:val="Body text (3) + Italic"/>
    <w:qFormat/>
    <w:rPr>
      <w:rFonts w:ascii="Times New Roman" w:hAnsi="Times New Roman" w:cs="Times New Roman"/>
      <w:b/>
      <w:bCs/>
      <w:i/>
      <w:iCs/>
      <w:w w:val="100"/>
      <w:position w:val="0"/>
      <w:sz w:val="26"/>
      <w:szCs w:val="26"/>
      <w:u w:val="none"/>
      <w:effect w:val="none"/>
      <w:shd w:fill="FFFFFF" w:val="clear"/>
      <w:vertAlign w:val="baseline"/>
      <w:em w:val="none"/>
      <w:lang w:bidi="ar-SA"/>
    </w:rPr>
  </w:style>
  <w:style w:type="character" w:styleId="Bodytext214pt" w:customStyle="1">
    <w:name w:val="Body text (2) + 14 pt"/>
    <w:qFormat/>
    <w:rPr>
      <w:rFonts w:ascii="Times New Roman" w:hAnsi="Times New Roman" w:cs="Times New Roman"/>
      <w:i/>
      <w:iCs/>
      <w:w w:val="100"/>
      <w:position w:val="0"/>
      <w:sz w:val="28"/>
      <w:szCs w:val="28"/>
      <w:u w:val="none"/>
      <w:effect w:val="none"/>
      <w:shd w:fill="FFFFFF" w:val="clear"/>
      <w:vertAlign w:val="baseline"/>
      <w:em w:val="none"/>
    </w:rPr>
  </w:style>
  <w:style w:type="character" w:styleId="FootnoteReference1" w:customStyle="1">
    <w:name w:val="Footnote Reference1"/>
    <w:qFormat/>
    <w:rPr>
      <w:w w:val="100"/>
      <w:effect w:val="none"/>
      <w:vertAlign w:val="superscript"/>
      <w:em w:val="none"/>
    </w:rPr>
  </w:style>
  <w:style w:type="character" w:styleId="FootnoteTextChar" w:customStyle="1">
    <w:name w:val="Footnote Text Char"/>
    <w:qFormat/>
    <w:rPr>
      <w:rFonts w:ascii="Times New Roman" w:hAnsi="Times New Roman" w:eastAsia="Times New Roman"/>
      <w:w w:val="100"/>
      <w:position w:val="0"/>
      <w:sz w:val="28"/>
      <w:effect w:val="none"/>
      <w:vertAlign w:val="baseline"/>
      <w:em w:val="none"/>
    </w:rPr>
  </w:style>
  <w:style w:type="character" w:styleId="FootnoteTextChar1" w:customStyle="1">
    <w:name w:val="Footnote Text Char1"/>
    <w:qFormat/>
    <w:rPr>
      <w:rFonts w:ascii="Times New Roman" w:hAnsi="Times New Roman" w:eastAsia="Times New Roman"/>
      <w:w w:val="100"/>
      <w:position w:val="0"/>
      <w:sz w:val="28"/>
      <w:effect w:val="none"/>
      <w:vertAlign w:val="baseline"/>
      <w:em w:val="none"/>
    </w:rPr>
  </w:style>
  <w:style w:type="character" w:styleId="Strong">
    <w:name w:val="Strong"/>
    <w:basedOn w:val="DefaultParagraphFont"/>
    <w:uiPriority w:val="22"/>
    <w:qFormat/>
    <w:rsid w:val="00377115"/>
    <w:rPr>
      <w:b/>
      <w:bCs/>
    </w:rPr>
  </w:style>
  <w:style w:type="character" w:styleId="whitespace-normal" w:customStyle="1">
    <w:name w:val="whitespace-normal"/>
    <w:basedOn w:val="DefaultParagraphFont"/>
    <w:qFormat/>
    <w:rsid w:val="00377115"/>
    <w:rPr/>
  </w:style>
  <w:style w:type="character" w:styleId="Hyperlink">
    <w:name w:val="Hyperlink"/>
    <w:rsid w:val="00b12d7e"/>
    <w:rPr>
      <w:color w:val="0000FF"/>
      <w:w w:val="100"/>
      <w:position w:val="0"/>
      <w:sz w:val="28"/>
      <w:u w:val="single"/>
      <w:effect w:val="none"/>
      <w:vertAlign w:val="baseline"/>
      <w:em w:val="non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bCs/>
      <w:sz w:val="72"/>
      <w:szCs w:val="72"/>
    </w:rPr>
  </w:style>
  <w:style w:type="paragraph" w:styleId="HeaderandFooter">
    <w:name w:val="Header and Footer"/>
    <w:basedOn w:val="Normal"/>
    <w:qFormat/>
    <w:pPr/>
    <w:rPr/>
  </w:style>
  <w:style w:type="paragraph" w:styleId="Footer">
    <w:name w:val="footer"/>
    <w:basedOn w:val="Normal"/>
    <w:pPr>
      <w:suppressAutoHyphens w:val="true"/>
      <w:spacing w:lineRule="atLeast" w:line="1" w:before="120" w:after="120"/>
      <w:ind w:hangingChars="1" w:leftChars="-1"/>
      <w:jc w:val="both"/>
      <w:textAlignment w:val="top"/>
      <w:outlineLvl w:val="0"/>
    </w:pPr>
    <w:rPr>
      <w:rFonts w:eastAsia="Calibri"/>
      <w:position w:val="-1"/>
      <w:szCs w:val="22"/>
    </w:rPr>
  </w:style>
  <w:style w:type="paragraph" w:styleId="Header">
    <w:name w:val="header"/>
    <w:basedOn w:val="Normal"/>
    <w:qFormat/>
    <w:pPr>
      <w:suppressAutoHyphens w:val="true"/>
      <w:spacing w:lineRule="atLeast" w:line="1"/>
      <w:ind w:hangingChars="1" w:leftChars="-1"/>
      <w:textAlignment w:val="top"/>
      <w:outlineLvl w:val="0"/>
    </w:pPr>
    <w:rPr>
      <w:b/>
      <w:spacing w:val="-2"/>
      <w:position w:val="-1"/>
    </w:rPr>
  </w:style>
  <w:style w:type="paragraph" w:styleId="Bodytext21" w:customStyle="1">
    <w:name w:val="Body text (2)1"/>
    <w:basedOn w:val="Normal"/>
    <w:qFormat/>
    <w:pPr>
      <w:widowControl w:val="false"/>
      <w:shd w:val="clear" w:color="auto" w:fill="FFFFFF"/>
      <w:suppressAutoHyphens w:val="true"/>
      <w:spacing w:lineRule="atLeast" w:line="360" w:before="0" w:after="480"/>
      <w:ind w:hangingChars="1" w:leftChars="-1"/>
      <w:jc w:val="center"/>
      <w:textAlignment w:val="top"/>
      <w:outlineLvl w:val="0"/>
    </w:pPr>
    <w:rPr>
      <w:rFonts w:ascii="Calibri" w:hAnsi="Calibri" w:eastAsia="Calibri"/>
      <w:position w:val="-1"/>
      <w:sz w:val="26"/>
      <w:szCs w:val="26"/>
      <w:lang w:val="en-AU"/>
    </w:rPr>
  </w:style>
  <w:style w:type="paragraph" w:styleId="Bodytext41" w:customStyle="1">
    <w:name w:val="Body text (4)"/>
    <w:basedOn w:val="Normal"/>
    <w:qFormat/>
    <w:pPr>
      <w:widowControl w:val="false"/>
      <w:shd w:val="clear" w:color="auto" w:fill="FFFFFF"/>
      <w:suppressAutoHyphens w:val="true"/>
      <w:spacing w:lineRule="atLeast" w:line="317" w:before="180" w:after="0"/>
      <w:ind w:hangingChars="1" w:leftChars="-1"/>
      <w:jc w:val="both"/>
      <w:textAlignment w:val="top"/>
      <w:outlineLvl w:val="0"/>
    </w:pPr>
    <w:rPr>
      <w:rFonts w:ascii="Calibri" w:hAnsi="Calibri" w:eastAsia="Calibri"/>
      <w:b/>
      <w:bCs/>
      <w:i/>
      <w:iCs/>
      <w:position w:val="-1"/>
      <w:sz w:val="26"/>
      <w:szCs w:val="26"/>
      <w:lang w:val="en-AU"/>
    </w:rPr>
  </w:style>
  <w:style w:type="paragraph" w:styleId="BalloonText">
    <w:name w:val="Balloon Text"/>
    <w:basedOn w:val="Normal"/>
    <w:qFormat/>
    <w:pPr>
      <w:suppressAutoHyphens w:val="true"/>
      <w:spacing w:lineRule="atLeast" w:line="1"/>
      <w:ind w:hangingChars="1" w:leftChars="-1"/>
      <w:textAlignment w:val="top"/>
      <w:outlineLvl w:val="0"/>
    </w:pPr>
    <w:rPr>
      <w:rFonts w:ascii="Tahoma" w:hAnsi="Tahoma" w:cs="Tahoma"/>
      <w:spacing w:val="-2"/>
      <w:position w:val="-1"/>
      <w:sz w:val="16"/>
      <w:szCs w:val="16"/>
      <w:lang w:val="en-US"/>
    </w:rPr>
  </w:style>
  <w:style w:type="paragraph" w:styleId="Vnbnnidung1" w:customStyle="1">
    <w:name w:val="Văn bản nội dung"/>
    <w:basedOn w:val="Normal"/>
    <w:qFormat/>
    <w:pPr>
      <w:widowControl w:val="false"/>
      <w:suppressAutoHyphens w:val="true"/>
      <w:spacing w:lineRule="atLeast" w:line="1" w:before="0" w:after="100"/>
      <w:ind w:hangingChars="1" w:leftChars="-1"/>
      <w:textAlignment w:val="top"/>
      <w:outlineLvl w:val="0"/>
    </w:pPr>
    <w:rPr>
      <w:position w:val="-1"/>
      <w:sz w:val="26"/>
      <w:szCs w:val="26"/>
      <w:lang w:val="en-AU"/>
    </w:rPr>
  </w:style>
  <w:style w:type="paragraph" w:styleId="utranghocchntrang21" w:customStyle="1">
    <w:name w:val="Đầu trang hoặc chân trang (2)"/>
    <w:basedOn w:val="Normal"/>
    <w:qFormat/>
    <w:pPr>
      <w:widowControl w:val="false"/>
      <w:suppressAutoHyphens w:val="true"/>
      <w:spacing w:lineRule="atLeast" w:line="1"/>
      <w:ind w:hangingChars="1" w:leftChars="-1"/>
      <w:textAlignment w:val="top"/>
      <w:outlineLvl w:val="0"/>
    </w:pPr>
    <w:rPr>
      <w:position w:val="-1"/>
      <w:sz w:val="20"/>
      <w:szCs w:val="20"/>
      <w:lang w:val="en-AU"/>
    </w:rPr>
  </w:style>
  <w:style w:type="paragraph" w:styleId="CharCharCharChar" w:customStyle="1">
    <w:name w:val="Char Char Char Char"/>
    <w:basedOn w:val="Normal"/>
    <w:qFormat/>
    <w:pPr>
      <w:suppressAutoHyphens w:val="true"/>
      <w:spacing w:lineRule="atLeast" w:line="240" w:before="0" w:after="160"/>
      <w:ind w:hangingChars="1" w:leftChars="-1"/>
      <w:textAlignment w:val="top"/>
      <w:outlineLvl w:val="0"/>
    </w:pPr>
    <w:rPr>
      <w:rFonts w:ascii="Arial" w:hAnsi="Arial"/>
      <w:position w:val="-1"/>
      <w:sz w:val="22"/>
      <w:szCs w:val="22"/>
      <w:lang w:val="en-US"/>
    </w:rPr>
  </w:style>
  <w:style w:type="paragraph" w:styleId="Bodytext31" w:customStyle="1">
    <w:name w:val="Body text (3)"/>
    <w:basedOn w:val="Normal"/>
    <w:qFormat/>
    <w:pPr>
      <w:widowControl w:val="false"/>
      <w:shd w:val="clear" w:color="auto" w:fill="FFFFFF"/>
      <w:suppressAutoHyphens w:val="true"/>
      <w:spacing w:lineRule="atLeast" w:line="320"/>
      <w:ind w:hangingChars="1" w:leftChars="-1"/>
      <w:jc w:val="both"/>
      <w:textAlignment w:val="top"/>
      <w:outlineLvl w:val="0"/>
    </w:pPr>
    <w:rPr>
      <w:rFonts w:ascii="Calibri" w:hAnsi="Calibri" w:eastAsia="Calibri"/>
      <w:b/>
      <w:bCs/>
      <w:position w:val="-1"/>
      <w:sz w:val="26"/>
      <w:szCs w:val="26"/>
      <w:lang w:val="en-US"/>
    </w:rPr>
  </w:style>
  <w:style w:type="paragraph" w:styleId="FootnoteText">
    <w:name w:val="footnote text"/>
    <w:basedOn w:val="Normal"/>
    <w:qFormat/>
    <w:pPr>
      <w:suppressAutoHyphens w:val="true"/>
      <w:spacing w:lineRule="atLeast" w:line="1"/>
      <w:ind w:hangingChars="1" w:leftChars="-1"/>
      <w:textAlignment w:val="top"/>
      <w:outlineLvl w:val="0"/>
    </w:pPr>
    <w:rPr>
      <w:position w:val="-1"/>
      <w:sz w:val="20"/>
      <w:szCs w:val="20"/>
      <w:lang w:val="en-US"/>
    </w:rPr>
  </w:style>
  <w:style w:type="paragraph" w:styleId="NormalWeb">
    <w:name w:val="Normal (Web)"/>
    <w:basedOn w:val="Normal"/>
    <w:uiPriority w:val="99"/>
    <w:qFormat/>
    <w:pPr>
      <w:suppressAutoHyphens w:val="true"/>
      <w:spacing w:lineRule="atLeast" w:line="1"/>
      <w:ind w:hangingChars="1" w:leftChars="-1"/>
      <w:textAlignment w:val="top"/>
      <w:outlineLvl w:val="0"/>
    </w:pPr>
    <w:rPr>
      <w:spacing w:val="-2"/>
      <w:position w:val="-1"/>
      <w:sz w:val="24"/>
      <w:szCs w:val="24"/>
      <w:lang w:val="en-US"/>
    </w:rPr>
  </w:style>
  <w:style w:type="paragraph" w:styleId="Subtitle">
    <w:name w:val="Subtitle"/>
    <w:basedOn w:val="Normal"/>
    <w:next w:val="Normal"/>
    <w:qFormat/>
    <w:pPr>
      <w:keepNext w:val="true"/>
      <w:keepLines/>
      <w:spacing w:before="360" w:after="80"/>
    </w:pPr>
    <w:rPr>
      <w:rFonts w:ascii="Georgia" w:hAnsi="Georgia" w:eastAsia="Georgia" w:cs="Georgia"/>
      <w:i/>
      <w:iCs/>
      <w:color w:val="666666"/>
      <w:sz w:val="48"/>
      <w:szCs w:val="48"/>
    </w:rPr>
  </w:style>
  <w:style w:type="paragraph" w:styleId="ListParagraph">
    <w:name w:val="List Paragraph"/>
    <w:basedOn w:val="Normal"/>
    <w:uiPriority w:val="34"/>
    <w:qFormat/>
    <w:rsid w:val="00377115"/>
    <w:pPr>
      <w:spacing w:before="0" w:after="0"/>
      <w:ind w:left="720"/>
      <w:contextualSpacing/>
    </w:pPr>
    <w:rPr/>
  </w:style>
  <w:style w:type="paragraph" w:styleId="Normal2" w:customStyle="1">
    <w:name w:val="Normal2"/>
    <w:qFormat/>
    <w:rsid w:val="00ac78ac"/>
    <w:pPr>
      <w:widowControl/>
      <w:bidi w:val="0"/>
      <w:spacing w:lineRule="auto" w:line="276" w:before="0" w:after="200"/>
      <w:ind w:hanging="1"/>
      <w:jc w:val="left"/>
    </w:pPr>
    <w:rPr>
      <w:rFonts w:ascii="Times New Roman" w:hAnsi="Times New Roman" w:eastAsia="Times New Roman" w:cs="Times New Roman"/>
      <w:color w:val="auto"/>
      <w:kern w:val="0"/>
      <w:sz w:val="28"/>
      <w:szCs w:val="28"/>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 w:type="table" w:styleId="TableGrid">
    <w:name w:val="Table Grid"/>
    <w:basedOn w:val="TableNormal"/>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roundtripDataSignature="AMtx7mg3ToeTtUhsOzBpOLyyala2QiNnwQ==">CgMxLjAyD2lkLjNneGlxMGV2NXM5YjIPaWQuY2Q4YXBjczRoYnlhMg9pZC5rbnc3eDlvM2Z3OGc4AHIhMVZWVHUzSEI2QUVBaVh1VVpCdXNVLWE2djBpel85SVh2</go:docsCustomData>
</go:gDocsCustomXmlDataStorage>
</file>

<file path=customXml/itemProps1.xml><?xml version="1.0" encoding="utf-8"?>
<ds:datastoreItem xmlns:ds="http://schemas.openxmlformats.org/officeDocument/2006/customXml" ds:itemID="{AE64F50E-F64C-4A8D-8638-CB18701221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LibreOffice/26.2.4.2$Windows_X86_64 LibreOffice_project/0229ac93fcf0d7cbc6376066c6f35021cef002dc</Application>
  <AppVersion>15.0000</AppVersion>
  <Pages>14</Pages>
  <Words>7990</Words>
  <Characters>28124</Characters>
  <CharactersWithSpaces>36072</CharactersWithSpaces>
  <Paragraphs>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2026-06-09T14:06:00Z</dcterms:created>
  <dc:creator>ADMIN</dc:creator>
  <dc:description/>
  <dc:language>vi-VN</dc:language>
  <cp:lastModifiedBy>Yen_102</cp:lastModifiedBy>
  <cp:lastPrinted>2026-06-09T09:15:00Z</cp:lastPrinted>
  <dcterms:modified xsi:type="dcterms:W3CDTF">2026-06-23T10:30:00Z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