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media/image1.gif" ContentType="image/gif"/>
  <Override PartName="/word/media/image2.gif" ContentType="image/gif"/>
  <Override PartName="/word/media/image3.gif" ContentType="image/gif"/>
  <Override PartName="/word/media/image4.gif" ContentType="image/gif"/>
  <Override PartName="/word/media/image5.gif" ContentType="image/gif"/>
  <Override PartName="/word/media/image6.gif" ContentType="image/gif"/>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Phụ lục I</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TỔNG HỢP CHI PHÍ BẢO TRÌ CÔNG TRÌNH XÂY DỰNG</w:t>
      </w:r>
    </w:p>
    <w:p>
      <w:pPr>
        <w:pStyle w:val="BodyText"/>
        <w:widowControl/>
        <w:pBdr/>
        <w:bidi w:val="0"/>
        <w:spacing w:lineRule="auto" w:line="360" w:before="0" w:after="0"/>
        <w:ind w:hanging="0" w:start="0" w:end="0"/>
        <w:jc w:val="center"/>
        <w:rPr/>
      </w:pPr>
      <w:r>
        <w:rPr>
          <w:rStyle w:val="Emphasis"/>
          <w:rFonts w:ascii="Times New Roman" w:hAnsi="Times New Roman"/>
          <w:b w:val="false"/>
          <w:i w:val="false"/>
          <w:caps w:val="false"/>
          <w:smallCaps w:val="false"/>
          <w:color w:val="222222"/>
          <w:spacing w:val="0"/>
          <w:sz w:val="24"/>
          <w:szCs w:val="24"/>
        </w:rPr>
        <w:t>(Ban hành kèm theo Thông tư số 40/2026/TT-BXD ngày 26 tháng 6 năm 2026</w:t>
      </w:r>
      <w:r>
        <w:rPr>
          <w:rFonts w:ascii="Times New Roman" w:hAnsi="Times New Roman"/>
          <w:b w:val="false"/>
          <w:i w:val="false"/>
          <w:caps w:val="false"/>
          <w:smallCaps w:val="false"/>
          <w:color w:val="222222"/>
          <w:spacing w:val="0"/>
          <w:sz w:val="24"/>
          <w:szCs w:val="24"/>
        </w:rPr>
        <w:br/>
      </w:r>
      <w:r>
        <w:rPr>
          <w:rStyle w:val="Emphasis"/>
          <w:rFonts w:ascii="Times New Roman" w:hAnsi="Times New Roman"/>
          <w:b w:val="false"/>
          <w:i w:val="false"/>
          <w:caps w:val="false"/>
          <w:smallCaps w:val="false"/>
          <w:color w:val="222222"/>
          <w:spacing w:val="0"/>
          <w:sz w:val="24"/>
          <w:szCs w:val="24"/>
        </w:rPr>
        <w:t>của Bộ trưởng Bộ Xây dựng)</w:t>
      </w:r>
    </w:p>
    <w:p>
      <w:pPr>
        <w:pStyle w:val="BodyText"/>
        <w:widowControl/>
        <w:pBdr/>
        <w:bidi w:val="0"/>
        <w:spacing w:lineRule="auto" w:line="360" w:before="0" w:after="0"/>
        <w:ind w:hanging="0" w:start="0" w:end="0"/>
        <w:jc w:val="center"/>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1. TỔNG HỢP CHI PHÍ BẢO TRÌ CÔNG TRÌNH XÂY DỰNG</w:t>
      </w:r>
    </w:p>
    <w:p>
      <w:pPr>
        <w:pStyle w:val="BodyText"/>
        <w:widowControl/>
        <w:pBdr/>
        <w:bidi w:val="0"/>
        <w:spacing w:lineRule="auto" w:line="360" w:before="0" w:after="0"/>
        <w:ind w:hanging="0" w:start="0" w:end="0"/>
        <w:jc w:val="center"/>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đồng</w:t>
      </w:r>
    </w:p>
    <w:tbl>
      <w:tblPr>
        <w:tblW w:w="5000" w:type="pct"/>
        <w:jc w:val="start"/>
        <w:tblInd w:w="-10" w:type="dxa"/>
        <w:tblLayout w:type="fixed"/>
        <w:tblCellMar>
          <w:top w:w="28" w:type="dxa"/>
          <w:start w:w="28" w:type="dxa"/>
          <w:bottom w:w="28" w:type="dxa"/>
          <w:end w:w="28" w:type="dxa"/>
        </w:tblCellMar>
      </w:tblPr>
      <w:tblGrid>
        <w:gridCol w:w="368"/>
        <w:gridCol w:w="5632"/>
        <w:gridCol w:w="1243"/>
        <w:gridCol w:w="931"/>
        <w:gridCol w:w="1079"/>
        <w:gridCol w:w="719"/>
      </w:tblGrid>
      <w:tr>
        <w:trPr/>
        <w:tc>
          <w:tcPr>
            <w:tcW w:w="36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TT</w:t>
            </w:r>
          </w:p>
        </w:tc>
        <w:tc>
          <w:tcPr>
            <w:tcW w:w="563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Khoản mục chi phí</w:t>
            </w:r>
          </w:p>
        </w:tc>
        <w:tc>
          <w:tcPr>
            <w:tcW w:w="124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 trước thuế</w:t>
            </w:r>
          </w:p>
        </w:tc>
        <w:tc>
          <w:tcPr>
            <w:tcW w:w="93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Thuế GTGT</w:t>
            </w:r>
          </w:p>
        </w:tc>
        <w:tc>
          <w:tcPr>
            <w:tcW w:w="107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 sau thuế</w:t>
            </w:r>
          </w:p>
        </w:tc>
        <w:tc>
          <w:tcPr>
            <w:tcW w:w="7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Ký hiệu</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1</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bảo dưỡng công trình</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GBD</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1.1</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thực hiện bảo dưỡng</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1.2</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khác</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1.3</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dự phòng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2</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sửa chữa công trình</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GSC</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2.1</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thực hiện sửa chữa</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2.2</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khác</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2.3</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dự phòng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3</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các công việc khác trong kế hoạch bảo trì công trình</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GK</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3.1</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quản lý của chủ sở hữu, chủ sử dụng công trình</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GQL</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3.2</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kiểm tra</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3.3</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quan trắc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3.4</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kiểm định chất lượng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3.5</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đánh giá an toàn công trình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3.6</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Lập kế hoạch bảo trì hàng năm</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3.7</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Lập, thẩm tra hoặc điều chỉnh quy trình bảo trì công trình xây dựng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3.8</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Các chi phí thực hiện các công việc khác có liên quan theo quy định của pháp luật chuyên ngành (nếu có)</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563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TỔNG CỘNG (1+2+3)</w:t>
            </w:r>
          </w:p>
        </w:tc>
        <w:tc>
          <w:tcPr>
            <w:tcW w:w="124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3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07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7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GBT</w:t>
            </w:r>
          </w:p>
        </w:tc>
      </w:tr>
    </w:tbl>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bidi w:val="0"/>
        <w:ind w:hanging="0" w:start="0" w:end="0"/>
        <w:jc w:val="start"/>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Phụ lục II</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DỰ TOÁN CHI PHÍ BẢO DƯỠNG CÔNG TRÌNH</w:t>
      </w:r>
    </w:p>
    <w:p>
      <w:pPr>
        <w:pStyle w:val="BodyText"/>
        <w:widowControl/>
        <w:pBdr/>
        <w:bidi w:val="0"/>
        <w:spacing w:lineRule="auto" w:line="360" w:before="0" w:after="0"/>
        <w:ind w:hanging="0" w:start="0" w:end="0"/>
        <w:jc w:val="center"/>
        <w:rPr/>
      </w:pPr>
      <w:r>
        <w:rPr>
          <w:rStyle w:val="Emphasis"/>
          <w:rFonts w:ascii="Times New Roman" w:hAnsi="Times New Roman"/>
          <w:b w:val="false"/>
          <w:i w:val="false"/>
          <w:caps w:val="false"/>
          <w:smallCaps w:val="false"/>
          <w:color w:val="222222"/>
          <w:spacing w:val="0"/>
          <w:sz w:val="24"/>
          <w:szCs w:val="24"/>
        </w:rPr>
        <w:t>(Ban hành kèm theo Thông tư số 40/2026/TT-BXD ngày 26 tháng 6 năm 2026</w:t>
        <w:br/>
        <w:t>của Bộ trưởng Bộ Xây dựng)</w:t>
      </w:r>
    </w:p>
    <w:p>
      <w:pPr>
        <w:pStyle w:val="BodyText"/>
        <w:widowControl/>
        <w:pBdr/>
        <w:bidi w:val="0"/>
        <w:spacing w:lineRule="auto" w:line="360" w:before="0" w:after="0"/>
        <w:ind w:hanging="0" w:start="0" w:end="0"/>
        <w:jc w:val="center"/>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firstLine="720" w:start="0" w:end="0"/>
        <w:jc w:val="both"/>
        <w:rPr/>
      </w:pPr>
      <w:r>
        <w:rPr>
          <w:rStyle w:val="Strong"/>
          <w:rFonts w:ascii="Times New Roman" w:hAnsi="Times New Roman"/>
          <w:b/>
          <w:i w:val="false"/>
          <w:caps w:val="false"/>
          <w:smallCaps w:val="false"/>
          <w:color w:val="222222"/>
          <w:spacing w:val="0"/>
          <w:sz w:val="24"/>
          <w:szCs w:val="24"/>
        </w:rPr>
        <w:t>I.</w:t>
      </w:r>
      <w:r>
        <w:rPr>
          <w:rFonts w:ascii="Times New Roman" w:hAnsi="Times New Roman"/>
          <w:b w:val="false"/>
          <w:i w:val="false"/>
          <w:caps w:val="false"/>
          <w:smallCaps w:val="false"/>
          <w:color w:val="222222"/>
          <w:spacing w:val="0"/>
          <w:sz w:val="24"/>
          <w:szCs w:val="24"/>
        </w:rPr>
        <w:t> </w:t>
      </w:r>
      <w:r>
        <w:rPr>
          <w:rStyle w:val="Strong"/>
          <w:rFonts w:ascii="Times New Roman" w:hAnsi="Times New Roman"/>
          <w:b/>
          <w:i w:val="false"/>
          <w:caps w:val="false"/>
          <w:smallCaps w:val="false"/>
          <w:color w:val="222222"/>
          <w:spacing w:val="0"/>
          <w:sz w:val="24"/>
          <w:szCs w:val="24"/>
        </w:rPr>
        <w:t>TỔNG HỢP DỰ TOÁN CHI PHÍ BẢO DƯỠNG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Dự toán chi phí bảo dưỡng công trình được tổng hợp theo Bảng 2.1 như sau:</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2.1. TỔNG HỢP DỰ TOÁN CHI PHÍ BẢO DƯỠNG CÔNG TRÌNH</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đồng</w:t>
      </w:r>
    </w:p>
    <w:tbl>
      <w:tblPr>
        <w:tblW w:w="5000" w:type="pct"/>
        <w:jc w:val="start"/>
        <w:tblInd w:w="-10" w:type="dxa"/>
        <w:tblLayout w:type="fixed"/>
        <w:tblCellMar>
          <w:top w:w="28" w:type="dxa"/>
          <w:start w:w="28" w:type="dxa"/>
          <w:bottom w:w="28" w:type="dxa"/>
          <w:end w:w="28" w:type="dxa"/>
        </w:tblCellMar>
      </w:tblPr>
      <w:tblGrid>
        <w:gridCol w:w="368"/>
        <w:gridCol w:w="4563"/>
        <w:gridCol w:w="1610"/>
        <w:gridCol w:w="1107"/>
        <w:gridCol w:w="1420"/>
        <w:gridCol w:w="904"/>
      </w:tblGrid>
      <w:tr>
        <w:trPr/>
        <w:tc>
          <w:tcPr>
            <w:tcW w:w="36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TT</w:t>
            </w:r>
          </w:p>
        </w:tc>
        <w:tc>
          <w:tcPr>
            <w:tcW w:w="456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Nội dung chi phí</w:t>
            </w:r>
          </w:p>
        </w:tc>
        <w:tc>
          <w:tcPr>
            <w:tcW w:w="161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 trước thuế</w:t>
            </w:r>
          </w:p>
        </w:tc>
        <w:tc>
          <w:tcPr>
            <w:tcW w:w="110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Thuế GTGT</w:t>
            </w:r>
          </w:p>
        </w:tc>
        <w:tc>
          <w:tcPr>
            <w:tcW w:w="142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 sau thuế</w:t>
            </w:r>
          </w:p>
        </w:tc>
        <w:tc>
          <w:tcPr>
            <w:tcW w:w="9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Ký hiệu</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thực hiện bảo dưỡng (bao gồm chi phí nhà tạm)</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GTHBD</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khác (nếu có)</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GKBD</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2.1</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lập dự toán</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2.2</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thẩm tra dự toán</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2.3</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tư vấn giám sát</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2.4</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Lập hồ sơ mời thầu, hồ sơ yêu cầu</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2.5</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thẩm định kết quả lựa chọn nhà thầu</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dự phòng (nếu có)</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456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TỔNG CỘNG (1+2+3)</w:t>
            </w:r>
          </w:p>
        </w:tc>
        <w:tc>
          <w:tcPr>
            <w:tcW w:w="16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0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2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GBD</w:t>
            </w:r>
          </w:p>
        </w:tc>
      </w:tr>
    </w:tbl>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tbl>
      <w:tblPr>
        <w:tblW w:w="5000" w:type="pct"/>
        <w:jc w:val="start"/>
        <w:tblInd w:w="0" w:type="dxa"/>
        <w:tblLayout w:type="fixed"/>
        <w:tblCellMar>
          <w:top w:w="0" w:type="dxa"/>
          <w:start w:w="0" w:type="dxa"/>
          <w:bottom w:w="0" w:type="dxa"/>
          <w:end w:w="0" w:type="dxa"/>
        </w:tblCellMar>
      </w:tblPr>
      <w:tblGrid>
        <w:gridCol w:w="4197"/>
        <w:gridCol w:w="5774"/>
      </w:tblGrid>
      <w:tr>
        <w:trPr/>
        <w:tc>
          <w:tcPr>
            <w:tcW w:w="4197" w:type="dxa"/>
            <w:tcBorders/>
            <w:shd w:fill="FFFFFF" w:val="clear"/>
            <w:vAlign w:val="center"/>
          </w:tcPr>
          <w:p>
            <w:pPr>
              <w:pStyle w:val="TableContents"/>
              <w:pBdr/>
              <w:bidi w:val="0"/>
              <w:spacing w:lineRule="auto" w:line="360" w:before="0" w:after="0"/>
              <w:ind w:hanging="0" w:start="0" w:end="0"/>
              <w:jc w:val="center"/>
              <w:rPr>
                <w:rFonts w:ascii="Times New Roman" w:hAnsi="Times New Roman"/>
                <w:color w:val="000000"/>
                <w:sz w:val="24"/>
                <w:szCs w:val="24"/>
              </w:rPr>
            </w:pPr>
            <w:r>
              <w:rPr>
                <w:rFonts w:ascii="Times New Roman" w:hAnsi="Times New Roman"/>
                <w:color w:val="000000"/>
                <w:sz w:val="24"/>
                <w:szCs w:val="24"/>
              </w:rPr>
              <w:t>NGƯỜI LẬP</w:t>
            </w:r>
          </w:p>
          <w:p>
            <w:pPr>
              <w:pStyle w:val="TableContents"/>
              <w:pBdr/>
              <w:bidi w:val="0"/>
              <w:spacing w:lineRule="auto" w:line="360" w:before="0" w:after="0"/>
              <w:ind w:hanging="0" w:start="0" w:end="0"/>
              <w:jc w:val="center"/>
              <w:rPr/>
            </w:pPr>
            <w:r>
              <w:rPr>
                <w:rStyle w:val="Emphasis"/>
                <w:rFonts w:ascii="Times New Roman" w:hAnsi="Times New Roman"/>
                <w:color w:val="000000"/>
                <w:sz w:val="24"/>
                <w:szCs w:val="24"/>
              </w:rPr>
              <w:t>(Ký, họ tên)</w:t>
            </w:r>
          </w:p>
        </w:tc>
        <w:tc>
          <w:tcPr>
            <w:tcW w:w="5774" w:type="dxa"/>
            <w:tcBorders/>
            <w:shd w:fill="FFFFFF" w:val="clear"/>
            <w:vAlign w:val="center"/>
          </w:tcPr>
          <w:p>
            <w:pPr>
              <w:pStyle w:val="TableContents"/>
              <w:pBdr/>
              <w:bidi w:val="0"/>
              <w:spacing w:lineRule="auto" w:line="360" w:before="0" w:after="0"/>
              <w:ind w:hanging="0" w:start="0" w:end="0"/>
              <w:jc w:val="center"/>
              <w:rPr/>
            </w:pPr>
            <w:r>
              <w:rPr>
                <w:rFonts w:ascii="Times New Roman" w:hAnsi="Times New Roman"/>
                <w:color w:val="000000"/>
                <w:sz w:val="24"/>
                <w:szCs w:val="24"/>
              </w:rPr>
              <w:t>NGƯỜI CHỦ TRÌ</w:t>
              <w:br/>
            </w:r>
            <w:r>
              <w:rPr>
                <w:rStyle w:val="Emphasis"/>
                <w:rFonts w:ascii="Times New Roman" w:hAnsi="Times New Roman"/>
                <w:color w:val="000000"/>
                <w:sz w:val="24"/>
                <w:szCs w:val="24"/>
              </w:rPr>
              <w:t>(Ký, họ tên)</w:t>
            </w:r>
          </w:p>
        </w:tc>
      </w:tr>
    </w:tbl>
    <w:p>
      <w:pPr>
        <w:pStyle w:val="BodyText"/>
        <w:widowControl/>
        <w:bidi w:val="0"/>
        <w:spacing w:lineRule="auto" w:line="360"/>
        <w:ind w:hanging="0"/>
        <w:jc w:val="start"/>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firstLine="720" w:start="0" w:end="0"/>
        <w:jc w:val="both"/>
        <w:rPr/>
      </w:pPr>
      <w:r>
        <w:rPr>
          <w:rStyle w:val="Strong"/>
          <w:rFonts w:ascii="Times New Roman" w:hAnsi="Times New Roman"/>
          <w:b/>
          <w:i w:val="false"/>
          <w:caps w:val="false"/>
          <w:smallCaps w:val="false"/>
          <w:color w:val="222222"/>
          <w:spacing w:val="0"/>
          <w:sz w:val="24"/>
          <w:szCs w:val="24"/>
        </w:rPr>
        <w:t>II. DỰ TOÁN CHI PHÍ THỰC HIỆN BẢO DƯỠNG</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Dự toán chi phí thực hiện bảo dưỡng gồm chi phí trực tiếp, chi phí gián tiếp, thu nhập chịu thuế tính trước, thuế giá trị gia tăng và chi phí nhà tạm, được tổng hợp trong Bảng 2.5 Phụ lục này và xác định như sau:</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1. Chi phí trực tiếp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Chi phí trực tiếp trong dự toán chi phí thực hiện bảo dưỡng gồm chi phí vật liệu (kể cả vật liệu do chủ sở hữu, chủ sử dụng công trình cấp), chi phí nhân công, chi phí máy và thiết bị thi công. Chi phí trực tiếp được xác định trên cơ sở khối lượng và giá các công tác bảo dưỡng công trình, trong đó:</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a) Khối lượng các công tác bảo dưỡng công trình được xác định căn cứ tiêu chuẩn về bảo trì, quy trình bảo trì công trình, điều kiện quản lý khai thác cụ thể của công trình. Trường hợp chưa có quy trình bảo trì công trình thì khối lượng các công tác bảo dưỡng công trình xác định trên cơ sở tham khảo tiêu chuẩn về bảo trì, quy trình bảo trì của công trình xây dựng tương tự phù hợp.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 Giá công tác bảo dưỡng công trình xác định trên cơ sở định mức cho các công việc bảo trì công trình xây dựng hoặc theo báo giá hoặc tham khảo giá của công tác tương tự đã và đang thực hiện.</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 Chi phí gián tiếp: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2.1. Nội dung chi phí gián tiếp gồm:</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Chi phí quản lý chung của doanh nghiệp là chi phí quản lý của doanh nghiệp được phân bổ cho công trình, gồm các chi phí: lương cho ban điều hành; lương cho người lao động; chi trả trợ cấp mất việc; chi phí phúc lợi; chi phí bảo trì văn phòng và các phương tiện; chi phí tiện ích văn phòng; chi phí thông tin liên lạc và đi lại; chi phí sử dụng tiện ích điện, nước; chi phí nghiên cứu và phát triển; chi phí quảng cáo; chi phí thuê đất, văn phòng và chỗ ở; chi phí khấu hao; thuế, lệ phí, phí theo quy định; bảo hiểm tổn thất; chi phí bảo đảm hợp đồng; một số chi phí phục vụ cho quản lý khác của doanh nghiệp.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Chi phí điều hành sản xuất tại công trường là toàn bộ chi phí cho bộ máy quản lý của doanh nghiệp tại công trường, gồm các chi phí: chi phí phục vụ công nhân, chi phí phục vụ thi công tại công trường, chi phí quản lý lao động; chi phí điện nước tại công trường; chi phí kiểm định an toàn đối với máy, thiết bị, vật tư có yêu cầu nghiêm ngặt theo quy định của pháp luật về an toàn, vệ sinh lao động; lương và phụ cấp cho cán bộ, nhân viên tại văn phòng hiện trường;</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Chi phí đảm bảo an toàn, vệ sinh lao động gồm các chi phí: chi phí huấn luyện an toàn, vệ sinh lao động, chi phí lập và thực hiện các biện pháp kỹ thuật an toàn; chi phí thực hiện kiểm định kỹ thuật an toàn lao động đối với máy và thiết bị thi công; các chi phí khác có liên quan đến thực hiện đảm bảo an toàn, vệ sinh lao động; Trường hợp công trình có thiết kế riêng về biện pháp an toàn, vệ sinh lao động thì được lập dự toán trong chi phí bảo trì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Chi phí người sử dụng lao động phải nộp trích nộp cho người lao động theo quy định (bảo hiểm xã hội, bảo hiểm y tế, kinh phí công đoàn, bảo hiểm thất nghiệp, bảo hiểm tai nạn nghề nghiệp, bảo hiểm khác...).</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2.2. Chi phí gián tiếp được xác định bằng định mức tỷ lệ phần trăm (%) nhân với chi phí nhân công trong chi phí trực tiếp của dự toán thực hiện bảo dưỡng. Định mức tỷ lệ phần trăm (%) xác định theo tổng chi phí nhân công thuộc chi phí trực tiếp trong dự toán chi phí bảo dưỡng của công trình hướng dẫn tại Bảng 2.2 Phụ lục này.</w:t>
      </w:r>
    </w:p>
    <w:p>
      <w:pPr>
        <w:pStyle w:val="BodyText"/>
        <w:widowControl/>
        <w:pBdr/>
        <w:bidi w:val="0"/>
        <w:spacing w:lineRule="auto" w:line="360" w:before="0" w:after="0"/>
        <w:ind w:hanging="0" w:start="0" w:end="0"/>
        <w:jc w:val="center"/>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2.2. ĐỊNH MỨC CHI PHÍ GIÁN TIẾP</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w:t>
      </w:r>
    </w:p>
    <w:tbl>
      <w:tblPr>
        <w:tblW w:w="5000" w:type="pct"/>
        <w:jc w:val="start"/>
        <w:tblInd w:w="-10" w:type="dxa"/>
        <w:tblLayout w:type="fixed"/>
        <w:tblCellMar>
          <w:top w:w="28" w:type="dxa"/>
          <w:start w:w="28" w:type="dxa"/>
          <w:bottom w:w="28" w:type="dxa"/>
          <w:end w:w="28" w:type="dxa"/>
        </w:tblCellMar>
      </w:tblPr>
      <w:tblGrid>
        <w:gridCol w:w="467"/>
        <w:gridCol w:w="2538"/>
        <w:gridCol w:w="1529"/>
        <w:gridCol w:w="1529"/>
        <w:gridCol w:w="1934"/>
        <w:gridCol w:w="1975"/>
      </w:tblGrid>
      <w:tr>
        <w:trPr/>
        <w:tc>
          <w:tcPr>
            <w:tcW w:w="467" w:type="dxa"/>
            <w:vMerge w:val="restart"/>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STT</w:t>
            </w:r>
          </w:p>
        </w:tc>
        <w:tc>
          <w:tcPr>
            <w:tcW w:w="2538"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Nội dung</w:t>
            </w:r>
          </w:p>
        </w:tc>
        <w:tc>
          <w:tcPr>
            <w:tcW w:w="6967" w:type="dxa"/>
            <w:gridSpan w:val="4"/>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Chi phí nhân công trong chi phí trực tiếp của dự toán thực hiện bảo dưỡng của công trình (tỷ đồng)</w:t>
            </w:r>
          </w:p>
        </w:tc>
      </w:tr>
      <w:tr>
        <w:trPr/>
        <w:tc>
          <w:tcPr>
            <w:tcW w:w="467" w:type="dxa"/>
            <w:vMerge w:val="continue"/>
            <w:tcBorders>
              <w:top w:val="single" w:sz="8" w:space="0" w:color="000000"/>
              <w:start w:val="single" w:sz="8" w:space="0" w:color="000000"/>
              <w:bottom w:val="single" w:sz="8" w:space="0" w:color="000000"/>
              <w:end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538"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5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15</w:t>
            </w:r>
          </w:p>
        </w:tc>
        <w:tc>
          <w:tcPr>
            <w:tcW w:w="15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50</w:t>
            </w:r>
          </w:p>
        </w:tc>
        <w:tc>
          <w:tcPr>
            <w:tcW w:w="19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100</w:t>
            </w:r>
          </w:p>
        </w:tc>
        <w:tc>
          <w:tcPr>
            <w:tcW w:w="197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&gt;100</w:t>
            </w:r>
          </w:p>
        </w:tc>
      </w:tr>
      <w:tr>
        <w:trPr/>
        <w:tc>
          <w:tcPr>
            <w:tcW w:w="46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25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Định mức tỷ lệ (%) chi phí gián tiếp</w:t>
            </w:r>
          </w:p>
        </w:tc>
        <w:tc>
          <w:tcPr>
            <w:tcW w:w="15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66</w:t>
            </w:r>
          </w:p>
        </w:tc>
        <w:tc>
          <w:tcPr>
            <w:tcW w:w="15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63</w:t>
            </w:r>
          </w:p>
        </w:tc>
        <w:tc>
          <w:tcPr>
            <w:tcW w:w="19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60</w:t>
            </w:r>
          </w:p>
        </w:tc>
        <w:tc>
          <w:tcPr>
            <w:tcW w:w="197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56</w:t>
            </w:r>
          </w:p>
        </w:tc>
      </w:tr>
    </w:tbl>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Đối với các công trình xây dựng tại vùng núi, biên giới, trên biển và hải đảo thì định mức tỷ lệ chi phí gián tiếp quy định tại Bảng 2.2 được điều chỉnh với hệ số từ 1,05 đến 1,1 tuỳ điều kiện cụ thể của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2.3. Trường hợp xác định bằng định mức theo quy định tại mục 2.2 không phù hợp thì được xác định bằng dự toán trên cơ sở nội dung chi phí gián tiếp quy định tại mục 2.1 nêu trên.</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3. Thu nhập chịu thuế tính trước:</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Thu nhập chịu thuế tính trước được tính bằng tỷ lệ phần trăm (%) hướng dẫn tại Bảng 2.3 nhân với tổng chi phí trực tiếp và chi phí gián tiếp trong dự toán chi phí thực hiện bảo dưỡng công trình.</w:t>
      </w:r>
    </w:p>
    <w:p>
      <w:pPr>
        <w:pStyle w:val="BodyText"/>
        <w:widowControl/>
        <w:pBdr/>
        <w:bidi w:val="0"/>
        <w:spacing w:lineRule="auto" w:line="360" w:before="0" w:after="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2.3. ĐỊNH MỨC THU NHẬP CHỊU THUẾ TÍNH TRƯỚC</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w:t>
      </w:r>
    </w:p>
    <w:tbl>
      <w:tblPr>
        <w:tblW w:w="5000" w:type="pct"/>
        <w:jc w:val="start"/>
        <w:tblInd w:w="-10" w:type="dxa"/>
        <w:tblLayout w:type="fixed"/>
        <w:tblCellMar>
          <w:top w:w="28" w:type="dxa"/>
          <w:start w:w="28" w:type="dxa"/>
          <w:bottom w:w="28" w:type="dxa"/>
          <w:end w:w="28" w:type="dxa"/>
        </w:tblCellMar>
      </w:tblPr>
      <w:tblGrid>
        <w:gridCol w:w="699"/>
        <w:gridCol w:w="5190"/>
        <w:gridCol w:w="4082"/>
      </w:tblGrid>
      <w:tr>
        <w:trPr/>
        <w:tc>
          <w:tcPr>
            <w:tcW w:w="699"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STT</w:t>
            </w:r>
          </w:p>
        </w:tc>
        <w:tc>
          <w:tcPr>
            <w:tcW w:w="519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Loại công trình1</w:t>
            </w:r>
          </w:p>
        </w:tc>
        <w:tc>
          <w:tcPr>
            <w:tcW w:w="408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Thu nhập chịu thuế tính trước</w:t>
            </w:r>
          </w:p>
        </w:tc>
      </w:tr>
      <w:tr>
        <w:trPr/>
        <w:tc>
          <w:tcPr>
            <w:tcW w:w="69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519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dân dụng</w:t>
            </w:r>
          </w:p>
        </w:tc>
        <w:tc>
          <w:tcPr>
            <w:tcW w:w="40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5,5</w:t>
            </w:r>
          </w:p>
        </w:tc>
      </w:tr>
      <w:tr>
        <w:trPr/>
        <w:tc>
          <w:tcPr>
            <w:tcW w:w="69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519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công nghiệp</w:t>
            </w:r>
          </w:p>
        </w:tc>
        <w:tc>
          <w:tcPr>
            <w:tcW w:w="40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6,0</w:t>
            </w:r>
          </w:p>
        </w:tc>
      </w:tr>
      <w:tr>
        <w:trPr/>
        <w:tc>
          <w:tcPr>
            <w:tcW w:w="69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519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giao thông</w:t>
            </w:r>
          </w:p>
        </w:tc>
        <w:tc>
          <w:tcPr>
            <w:tcW w:w="40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6,0</w:t>
            </w:r>
          </w:p>
        </w:tc>
      </w:tr>
      <w:tr>
        <w:trPr/>
        <w:tc>
          <w:tcPr>
            <w:tcW w:w="69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519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nông nghiệp và môi trường</w:t>
            </w:r>
          </w:p>
        </w:tc>
        <w:tc>
          <w:tcPr>
            <w:tcW w:w="40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5,5</w:t>
            </w:r>
          </w:p>
        </w:tc>
      </w:tr>
      <w:tr>
        <w:trPr/>
        <w:tc>
          <w:tcPr>
            <w:tcW w:w="69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c>
          <w:tcPr>
            <w:tcW w:w="519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hạ tầng kỹ thuật</w:t>
            </w:r>
          </w:p>
        </w:tc>
        <w:tc>
          <w:tcPr>
            <w:tcW w:w="40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5,5</w:t>
            </w:r>
          </w:p>
        </w:tc>
      </w:tr>
    </w:tbl>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4. Thuế giá trị gia tăng (nếu có): được xác định theo quy định.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5. Chi phí nhà tạm:</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Chi phí nhà tạm phục vụ công việc bảo dưỡng công trình được xác định bằng định mức tỷ lệ phần trăm (%) nhân với chi phí thực hiện bảo dưỡng của công trình. Định mức tỷ lệ phần trăm (%) chi phí nhà tạm được xác định theo tổng chi phí thực hiện bảo dưỡng trước thuế của công trình hướng dẫn tại bảng 2.4 Phụ lục này.</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2.4. ĐỊNH MỨC CHI PHÍ NHÀ TẠM</w:t>
      </w:r>
    </w:p>
    <w:tbl>
      <w:tblPr>
        <w:tblW w:w="5000" w:type="pct"/>
        <w:jc w:val="start"/>
        <w:tblInd w:w="-10" w:type="dxa"/>
        <w:tblLayout w:type="fixed"/>
        <w:tblCellMar>
          <w:top w:w="28" w:type="dxa"/>
          <w:start w:w="28" w:type="dxa"/>
          <w:bottom w:w="28" w:type="dxa"/>
          <w:end w:w="28" w:type="dxa"/>
        </w:tblCellMar>
      </w:tblPr>
      <w:tblGrid>
        <w:gridCol w:w="485"/>
        <w:gridCol w:w="2991"/>
        <w:gridCol w:w="1106"/>
        <w:gridCol w:w="1222"/>
        <w:gridCol w:w="1221"/>
        <w:gridCol w:w="1472"/>
        <w:gridCol w:w="1474"/>
      </w:tblGrid>
      <w:tr>
        <w:trPr/>
        <w:tc>
          <w:tcPr>
            <w:tcW w:w="485" w:type="dxa"/>
            <w:vMerge w:val="restart"/>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STT</w:t>
            </w:r>
          </w:p>
        </w:tc>
        <w:tc>
          <w:tcPr>
            <w:tcW w:w="2991"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Loại công trình</w:t>
            </w:r>
          </w:p>
        </w:tc>
        <w:tc>
          <w:tcPr>
            <w:tcW w:w="6495" w:type="dxa"/>
            <w:gridSpan w:val="5"/>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Tổng chi phí thực hiện bảo dưỡng trước thuế của công trình (tỷ đồng)</w:t>
            </w:r>
          </w:p>
        </w:tc>
      </w:tr>
      <w:tr>
        <w:trPr/>
        <w:tc>
          <w:tcPr>
            <w:tcW w:w="485" w:type="dxa"/>
            <w:vMerge w:val="continue"/>
            <w:tcBorders>
              <w:top w:val="single" w:sz="8" w:space="0" w:color="000000"/>
              <w:start w:val="single" w:sz="8" w:space="0" w:color="000000"/>
              <w:bottom w:val="single" w:sz="8" w:space="0" w:color="000000"/>
              <w:end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991"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10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xml:space="preserve">≤ </w:t>
            </w:r>
            <w:r>
              <w:rPr>
                <w:rFonts w:ascii="Times New Roman" w:hAnsi="Times New Roman"/>
                <w:color w:val="222222"/>
                <w:sz w:val="24"/>
                <w:szCs w:val="24"/>
              </w:rPr>
              <w:t>15</w:t>
            </w:r>
          </w:p>
        </w:tc>
        <w:tc>
          <w:tcPr>
            <w:tcW w:w="122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100</w:t>
            </w:r>
          </w:p>
        </w:tc>
        <w:tc>
          <w:tcPr>
            <w:tcW w:w="122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500</w:t>
            </w:r>
          </w:p>
        </w:tc>
        <w:tc>
          <w:tcPr>
            <w:tcW w:w="147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1000</w:t>
            </w:r>
          </w:p>
        </w:tc>
        <w:tc>
          <w:tcPr>
            <w:tcW w:w="147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&gt;1000</w:t>
            </w:r>
          </w:p>
        </w:tc>
      </w:tr>
      <w:tr>
        <w:trPr/>
        <w:tc>
          <w:tcPr>
            <w:tcW w:w="48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299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110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122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122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c>
          <w:tcPr>
            <w:tcW w:w="147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w:t>
            </w:r>
          </w:p>
        </w:tc>
        <w:tc>
          <w:tcPr>
            <w:tcW w:w="147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[7]</w:t>
            </w:r>
          </w:p>
        </w:tc>
      </w:tr>
      <w:tr>
        <w:trPr/>
        <w:tc>
          <w:tcPr>
            <w:tcW w:w="48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299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xây dựng theo tuyến</w:t>
            </w:r>
          </w:p>
        </w:tc>
        <w:tc>
          <w:tcPr>
            <w:tcW w:w="110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2,2</w:t>
            </w:r>
          </w:p>
        </w:tc>
        <w:tc>
          <w:tcPr>
            <w:tcW w:w="122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2,0</w:t>
            </w:r>
          </w:p>
        </w:tc>
        <w:tc>
          <w:tcPr>
            <w:tcW w:w="122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1,9</w:t>
            </w:r>
          </w:p>
        </w:tc>
        <w:tc>
          <w:tcPr>
            <w:tcW w:w="147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1,8</w:t>
            </w:r>
          </w:p>
        </w:tc>
        <w:tc>
          <w:tcPr>
            <w:tcW w:w="147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1,7</w:t>
            </w:r>
          </w:p>
        </w:tc>
      </w:tr>
      <w:tr>
        <w:trPr/>
        <w:tc>
          <w:tcPr>
            <w:tcW w:w="48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299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xây dựng còn lại</w:t>
            </w:r>
          </w:p>
        </w:tc>
        <w:tc>
          <w:tcPr>
            <w:tcW w:w="110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1,1</w:t>
            </w:r>
          </w:p>
        </w:tc>
        <w:tc>
          <w:tcPr>
            <w:tcW w:w="122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1,0</w:t>
            </w:r>
          </w:p>
        </w:tc>
        <w:tc>
          <w:tcPr>
            <w:tcW w:w="1221"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0,95</w:t>
            </w:r>
          </w:p>
        </w:tc>
        <w:tc>
          <w:tcPr>
            <w:tcW w:w="147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0,9</w:t>
            </w:r>
          </w:p>
        </w:tc>
        <w:tc>
          <w:tcPr>
            <w:tcW w:w="147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0,85</w:t>
            </w:r>
          </w:p>
        </w:tc>
      </w:tr>
    </w:tbl>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6. Tổng hợp dự toán chi phí thực hiện bảo dưỡng</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Dự toán chi phí thực hiện bảo dưỡng theo khối lượng và giá tương ứng được tổng hợp theo Bảng 2.5 như sau:</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2.5. DỰ TOÁN CHI PHÍ THỰC HIỆN BẢO DƯỠNG</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Công trình: …………………………………………………………………………………..</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Địa điểm: …………………………………………………………………………………….</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đồng</w:t>
      </w:r>
    </w:p>
    <w:tbl>
      <w:tblPr>
        <w:tblW w:w="5000" w:type="pct"/>
        <w:jc w:val="start"/>
        <w:tblInd w:w="-10" w:type="dxa"/>
        <w:tblLayout w:type="fixed"/>
        <w:tblCellMar>
          <w:top w:w="28" w:type="dxa"/>
          <w:start w:w="28" w:type="dxa"/>
          <w:bottom w:w="28" w:type="dxa"/>
          <w:end w:w="28" w:type="dxa"/>
        </w:tblCellMar>
      </w:tblPr>
      <w:tblGrid>
        <w:gridCol w:w="483"/>
        <w:gridCol w:w="5110"/>
        <w:gridCol w:w="2308"/>
        <w:gridCol w:w="836"/>
        <w:gridCol w:w="1234"/>
      </w:tblGrid>
      <w:tr>
        <w:trPr/>
        <w:tc>
          <w:tcPr>
            <w:tcW w:w="483"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STT</w:t>
            </w:r>
          </w:p>
        </w:tc>
        <w:tc>
          <w:tcPr>
            <w:tcW w:w="511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NỘI DUNG CHI PHÍ</w:t>
            </w:r>
          </w:p>
        </w:tc>
        <w:tc>
          <w:tcPr>
            <w:tcW w:w="230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CÁCH TÍNH</w:t>
            </w:r>
          </w:p>
        </w:tc>
        <w:tc>
          <w:tcPr>
            <w:tcW w:w="83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w:t>
            </w:r>
          </w:p>
        </w:tc>
        <w:tc>
          <w:tcPr>
            <w:tcW w:w="123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KÝ HIỆU</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TRỰC TIẾP</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VL + NC + M</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vật liệu</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drawing>
                <wp:inline distT="0" distB="0" distL="0" distR="0">
                  <wp:extent cx="1009650" cy="4762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009650" cy="476250"/>
                          </a:xfrm>
                          <a:prstGeom prst="rect">
                            <a:avLst/>
                          </a:prstGeom>
                          <a:noFill/>
                        </pic:spPr>
                      </pic:pic>
                    </a:graphicData>
                  </a:graphic>
                </wp:inline>
              </w:drawing>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VL</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nhân công</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drawing>
                <wp:inline distT="0" distB="0" distL="0" distR="0">
                  <wp:extent cx="1009650" cy="48577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009650" cy="485775"/>
                          </a:xfrm>
                          <a:prstGeom prst="rect">
                            <a:avLst/>
                          </a:prstGeom>
                          <a:noFill/>
                        </pic:spPr>
                      </pic:pic>
                    </a:graphicData>
                  </a:graphic>
                </wp:inline>
              </w:drawing>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NC</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máy và thiết bị thi công</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drawing>
                <wp:inline distT="0" distB="0" distL="0" distR="0">
                  <wp:extent cx="981075" cy="47625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981075" cy="476250"/>
                          </a:xfrm>
                          <a:prstGeom prst="rect">
                            <a:avLst/>
                          </a:prstGeom>
                          <a:noFill/>
                        </pic:spPr>
                      </pic:pic>
                    </a:graphicData>
                  </a:graphic>
                </wp:inline>
              </w:drawing>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M</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II</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GIÁN TIẾP</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NC x Tỷ lệ</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III</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THU NHẬP CHỊU THUẾ</w:t>
            </w:r>
          </w:p>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TÍNH TRƯỚC</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 + GT) x Tỷ lệ</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TL</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thực hiện bảo dưỡng công trình trước thuế</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 + GT + TL)</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GTHBDTT</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IV</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THUẾ GIÁ TRỊ GIA TĂNG</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GTHBDTT x  TGTGT</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GTGT</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thực hiện bảo dưỡng công trình sau thuế</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GTHBDTT + GTGT</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GTHBD</w:t>
            </w:r>
          </w:p>
        </w:tc>
      </w:tr>
      <w:tr>
        <w:trPr/>
        <w:tc>
          <w:tcPr>
            <w:tcW w:w="48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V</w:t>
            </w:r>
          </w:p>
        </w:tc>
        <w:tc>
          <w:tcPr>
            <w:tcW w:w="511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nhà tạm</w:t>
            </w:r>
          </w:p>
        </w:tc>
        <w:tc>
          <w:tcPr>
            <w:tcW w:w="230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GTHBD </w:t>
            </w:r>
            <w:r>
              <w:rPr>
                <w:rFonts w:ascii="Times New Roman" w:hAnsi="Times New Roman"/>
                <w:color w:val="222222"/>
                <w:sz w:val="24"/>
                <w:szCs w:val="24"/>
              </w:rPr>
              <w:t>x Tỷ lệ</w:t>
            </w:r>
          </w:p>
        </w:tc>
        <w:tc>
          <w:tcPr>
            <w:tcW w:w="83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23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LT</w:t>
            </w:r>
          </w:p>
        </w:tc>
      </w:tr>
    </w:tbl>
    <w:p>
      <w:pPr>
        <w:pStyle w:val="BodyText"/>
        <w:widowControl/>
        <w:pBdr/>
        <w:bidi w:val="0"/>
        <w:spacing w:lineRule="auto" w:line="360" w:before="0" w:after="120"/>
        <w:ind w:firstLine="720" w:start="0" w:end="0"/>
        <w:jc w:val="both"/>
        <w:rPr/>
      </w:pPr>
      <w:r>
        <w:rPr>
          <w:rStyle w:val="Emphasis"/>
          <w:rFonts w:ascii="Times New Roman" w:hAnsi="Times New Roman"/>
          <w:b w:val="false"/>
          <w:i w:val="false"/>
          <w:caps w:val="false"/>
          <w:smallCaps w:val="false"/>
          <w:color w:val="222222"/>
          <w:spacing w:val="0"/>
          <w:sz w:val="24"/>
          <w:szCs w:val="24"/>
        </w:rPr>
        <w:t>Trong đó:</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Qj là khối lượng công tác thực hiện bảo dưỡng công trình thứ j (j = 1 + n);</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DjVL, DjNC , DjMTC : chi phí vật liệu, nhân công, máy thi công trong giá công tác thực hiện bảo dưỡng trực tiếp của công trình đối với công tác thực hiện bảo dưỡng thứ j;</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GT: Chi phí gián tiếp;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TL: thu nhập chịu thuế tính trước;</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GTHBDTT: Chi phí thực hiện bảo dưỡng công trình trước thuế;</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TGTGT: mức thuế suất thuế GTGT (nếu có) quy định cho công tác bảo dưỡng công trình xây dựng;</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GTHBD: Chi phí thực hiện bảo dưỡng công trình sau thuế;</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LT: Chi phí nhà tạm.</w:t>
      </w:r>
    </w:p>
    <w:p>
      <w:pPr>
        <w:pStyle w:val="BodyText"/>
        <w:widowControl/>
        <w:pBdr/>
        <w:bidi w:val="0"/>
        <w:spacing w:lineRule="auto" w:line="360" w:before="0" w:after="120"/>
        <w:ind w:hanging="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hanging="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hanging="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___________________</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1 Loại công trình được phân loại theo quy định hiện hành.</w:t>
      </w:r>
    </w:p>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bidi w:val="0"/>
        <w:ind w:hanging="0" w:start="0" w:end="0"/>
        <w:jc w:val="start"/>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Phụ lục III</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DỰ TOÁN CHI PHÍ SỬA CHỮA CÔNG TRÌNH XÂY DỰNG</w:t>
      </w:r>
    </w:p>
    <w:p>
      <w:pPr>
        <w:pStyle w:val="BodyText"/>
        <w:widowControl/>
        <w:pBdr/>
        <w:bidi w:val="0"/>
        <w:spacing w:lineRule="auto" w:line="360" w:before="0" w:after="0"/>
        <w:ind w:hanging="0" w:start="0" w:end="0"/>
        <w:jc w:val="center"/>
        <w:rPr/>
      </w:pPr>
      <w:r>
        <w:rPr>
          <w:rStyle w:val="Emphasis"/>
          <w:rFonts w:ascii="Times New Roman" w:hAnsi="Times New Roman"/>
          <w:b w:val="false"/>
          <w:i w:val="false"/>
          <w:caps w:val="false"/>
          <w:smallCaps w:val="false"/>
          <w:color w:val="222222"/>
          <w:spacing w:val="0"/>
          <w:sz w:val="24"/>
          <w:szCs w:val="24"/>
        </w:rPr>
        <w:t>(Ban hành kèm theo Thông tư số 40/2026/TT-BXD ngày 26 tháng 6 năm 2026</w:t>
        <w:br/>
        <w:t>của Bộ trưởng Bộ Xây dựng)</w:t>
      </w:r>
    </w:p>
    <w:p>
      <w:pPr>
        <w:pStyle w:val="BodyText"/>
        <w:widowControl/>
        <w:pBdr/>
        <w:bidi w:val="0"/>
        <w:spacing w:lineRule="auto" w:line="360" w:before="0" w:after="0"/>
        <w:ind w:hanging="0" w:start="0" w:end="0"/>
        <w:jc w:val="center"/>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firstLine="720" w:start="0" w:end="0"/>
        <w:jc w:val="both"/>
        <w:rPr/>
      </w:pPr>
      <w:r>
        <w:rPr>
          <w:rStyle w:val="Strong"/>
          <w:rFonts w:ascii="Times New Roman" w:hAnsi="Times New Roman"/>
          <w:b/>
          <w:i w:val="false"/>
          <w:caps w:val="false"/>
          <w:smallCaps w:val="false"/>
          <w:color w:val="222222"/>
          <w:spacing w:val="0"/>
          <w:sz w:val="24"/>
          <w:szCs w:val="24"/>
        </w:rPr>
        <w:t>I.</w:t>
      </w:r>
      <w:r>
        <w:rPr>
          <w:rFonts w:ascii="Times New Roman" w:hAnsi="Times New Roman"/>
          <w:b w:val="false"/>
          <w:i w:val="false"/>
          <w:caps w:val="false"/>
          <w:smallCaps w:val="false"/>
          <w:color w:val="222222"/>
          <w:spacing w:val="0"/>
          <w:sz w:val="24"/>
          <w:szCs w:val="24"/>
        </w:rPr>
        <w:t> </w:t>
      </w:r>
      <w:r>
        <w:rPr>
          <w:rStyle w:val="Strong"/>
          <w:rFonts w:ascii="Times New Roman" w:hAnsi="Times New Roman"/>
          <w:b/>
          <w:i w:val="false"/>
          <w:caps w:val="false"/>
          <w:smallCaps w:val="false"/>
          <w:color w:val="222222"/>
          <w:spacing w:val="0"/>
          <w:sz w:val="24"/>
          <w:szCs w:val="24"/>
        </w:rPr>
        <w:t>DỰ TOÁN CHI PHÍ SỬA CHỮA CÔNG TRÌNH XÂY DỰNG</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Dự toán chi phí sửa chữa công trình xây dựng được tổng hợp theo Bảng 3.1 như sau:</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3.1. TỔNG HỢP DỰ TOÁN CHI PHÍ SỬA CHỮA CÔNG TRÌNH</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đồng</w:t>
      </w:r>
    </w:p>
    <w:tbl>
      <w:tblPr>
        <w:tblW w:w="5000" w:type="pct"/>
        <w:jc w:val="start"/>
        <w:tblInd w:w="-10" w:type="dxa"/>
        <w:tblLayout w:type="fixed"/>
        <w:tblCellMar>
          <w:top w:w="28" w:type="dxa"/>
          <w:start w:w="28" w:type="dxa"/>
          <w:bottom w:w="28" w:type="dxa"/>
          <w:end w:w="28" w:type="dxa"/>
        </w:tblCellMar>
      </w:tblPr>
      <w:tblGrid>
        <w:gridCol w:w="368"/>
        <w:gridCol w:w="4518"/>
        <w:gridCol w:w="1629"/>
        <w:gridCol w:w="1116"/>
        <w:gridCol w:w="1438"/>
        <w:gridCol w:w="903"/>
      </w:tblGrid>
      <w:tr>
        <w:trPr/>
        <w:tc>
          <w:tcPr>
            <w:tcW w:w="36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TT</w:t>
            </w:r>
          </w:p>
        </w:tc>
        <w:tc>
          <w:tcPr>
            <w:tcW w:w="451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Nội dung chi phí</w:t>
            </w:r>
          </w:p>
        </w:tc>
        <w:tc>
          <w:tcPr>
            <w:tcW w:w="162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 trước thuế</w:t>
            </w:r>
          </w:p>
        </w:tc>
        <w:tc>
          <w:tcPr>
            <w:tcW w:w="111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Thuế GTGT</w:t>
            </w:r>
          </w:p>
        </w:tc>
        <w:tc>
          <w:tcPr>
            <w:tcW w:w="143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 sau thuế</w:t>
            </w:r>
          </w:p>
        </w:tc>
        <w:tc>
          <w:tcPr>
            <w:tcW w:w="90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Ký hiệu</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[6]</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thực hiện sửa chữa (bao gồm chi phí nhà tạm)</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GTHSC</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khác (nếu có)</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GKSC</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2.1</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lập dự toán</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2.2</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thẩm tra dự toán</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2.3</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tư vấn giám sát</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2.4</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Lập hồ sơ mời thầu, hồ sơ yêu cầu</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2.5</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thẩm định kết quả lựa chọn nhà thầu</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2.6</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đảm bảo an toàn giao thông</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w:t>
            </w:r>
            <w:r>
              <w:rPr>
                <w:rFonts w:ascii="Times New Roman" w:hAnsi="Times New Roman"/>
                <w:color w:val="222222"/>
                <w:sz w:val="24"/>
                <w:szCs w:val="24"/>
              </w:rPr>
              <w:t>.</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dự phòng (nếu có)</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r>
      <w:tr>
        <w:trPr/>
        <w:tc>
          <w:tcPr>
            <w:tcW w:w="36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451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TỔNG CỘNG (1+2+3)</w:t>
            </w:r>
          </w:p>
        </w:tc>
        <w:tc>
          <w:tcPr>
            <w:tcW w:w="162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116"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38"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GSC</w:t>
            </w:r>
          </w:p>
        </w:tc>
      </w:tr>
    </w:tbl>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tbl>
      <w:tblPr>
        <w:tblW w:w="5000" w:type="pct"/>
        <w:jc w:val="start"/>
        <w:tblInd w:w="0" w:type="dxa"/>
        <w:tblLayout w:type="fixed"/>
        <w:tblCellMar>
          <w:top w:w="0" w:type="dxa"/>
          <w:start w:w="0" w:type="dxa"/>
          <w:bottom w:w="0" w:type="dxa"/>
          <w:end w:w="0" w:type="dxa"/>
        </w:tblCellMar>
      </w:tblPr>
      <w:tblGrid>
        <w:gridCol w:w="4197"/>
        <w:gridCol w:w="5774"/>
      </w:tblGrid>
      <w:tr>
        <w:trPr/>
        <w:tc>
          <w:tcPr>
            <w:tcW w:w="4197" w:type="dxa"/>
            <w:tcBorders/>
            <w:shd w:fill="FFFFFF" w:val="clear"/>
            <w:vAlign w:val="center"/>
          </w:tcPr>
          <w:p>
            <w:pPr>
              <w:pStyle w:val="TableContents"/>
              <w:pBdr/>
              <w:bidi w:val="0"/>
              <w:spacing w:lineRule="auto" w:line="360" w:before="0" w:after="0"/>
              <w:ind w:hanging="0" w:start="0" w:end="0"/>
              <w:jc w:val="center"/>
              <w:rPr>
                <w:rFonts w:ascii="Times New Roman" w:hAnsi="Times New Roman"/>
                <w:color w:val="000000"/>
                <w:sz w:val="24"/>
                <w:szCs w:val="24"/>
              </w:rPr>
            </w:pPr>
            <w:r>
              <w:rPr>
                <w:rFonts w:ascii="Times New Roman" w:hAnsi="Times New Roman"/>
                <w:color w:val="000000"/>
                <w:sz w:val="24"/>
                <w:szCs w:val="24"/>
              </w:rPr>
              <w:t>NGƯỜI LẬP</w:t>
            </w:r>
          </w:p>
          <w:p>
            <w:pPr>
              <w:pStyle w:val="TableContents"/>
              <w:pBdr/>
              <w:bidi w:val="0"/>
              <w:spacing w:lineRule="auto" w:line="360" w:before="0" w:after="0"/>
              <w:ind w:hanging="0" w:start="0" w:end="0"/>
              <w:jc w:val="center"/>
              <w:rPr/>
            </w:pPr>
            <w:r>
              <w:rPr>
                <w:rStyle w:val="Emphasis"/>
                <w:rFonts w:ascii="Times New Roman" w:hAnsi="Times New Roman"/>
                <w:color w:val="000000"/>
                <w:sz w:val="24"/>
                <w:szCs w:val="24"/>
              </w:rPr>
              <w:t>(Ký, họ tên)</w:t>
            </w:r>
          </w:p>
        </w:tc>
        <w:tc>
          <w:tcPr>
            <w:tcW w:w="5774" w:type="dxa"/>
            <w:tcBorders/>
            <w:shd w:fill="FFFFFF" w:val="clear"/>
            <w:vAlign w:val="center"/>
          </w:tcPr>
          <w:p>
            <w:pPr>
              <w:pStyle w:val="TableContents"/>
              <w:pBdr/>
              <w:bidi w:val="0"/>
              <w:spacing w:lineRule="auto" w:line="360" w:before="0" w:after="0"/>
              <w:ind w:hanging="0" w:start="0" w:end="0"/>
              <w:jc w:val="center"/>
              <w:rPr/>
            </w:pPr>
            <w:r>
              <w:rPr>
                <w:rFonts w:ascii="Times New Roman" w:hAnsi="Times New Roman"/>
                <w:color w:val="000000"/>
                <w:sz w:val="24"/>
                <w:szCs w:val="24"/>
              </w:rPr>
              <w:t>NGƯỜI CHỦ TRÌ</w:t>
              <w:br/>
            </w:r>
            <w:r>
              <w:rPr>
                <w:rStyle w:val="Emphasis"/>
                <w:rFonts w:ascii="Times New Roman" w:hAnsi="Times New Roman"/>
                <w:color w:val="000000"/>
                <w:sz w:val="24"/>
                <w:szCs w:val="24"/>
              </w:rPr>
              <w:t>(Ký, họ tên)</w:t>
            </w:r>
          </w:p>
        </w:tc>
      </w:tr>
    </w:tbl>
    <w:p>
      <w:pPr>
        <w:pStyle w:val="BodyText"/>
        <w:widowControl/>
        <w:bidi w:val="0"/>
        <w:spacing w:lineRule="auto" w:line="360"/>
        <w:ind w:hanging="0"/>
        <w:jc w:val="start"/>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firstLine="720" w:start="0" w:end="0"/>
        <w:jc w:val="both"/>
        <w:rPr/>
      </w:pPr>
      <w:r>
        <w:rPr>
          <w:rStyle w:val="Strong"/>
          <w:rFonts w:ascii="Times New Roman" w:hAnsi="Times New Roman"/>
          <w:b/>
          <w:i w:val="false"/>
          <w:caps w:val="false"/>
          <w:smallCaps w:val="false"/>
          <w:color w:val="222222"/>
          <w:spacing w:val="0"/>
          <w:sz w:val="24"/>
          <w:szCs w:val="24"/>
        </w:rPr>
        <w:t>II. DỰ TOÁN CHI PHÍ THỰC HIỆN SỬA CHỮA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Dự toán chi phí thực hiện sửa chữa công trình gồm chi phí trực tiếp, chi phí gián tiếp, thu nhập chịu thuế tính trước và thuế giá trị gia tăng được tổng hợp trong Bảng 3.2 Phụ lục này và xác định như sau:</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1. Chi phí trực tiếp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Chi phí trực tiếp trong dự toán chi phí thực hiện sửa chữa công trình xây dựng gồm chi phí vật liệu (kể cả vật liệu do chủ sở hữu hoặc chủ quản lý, sử dụng công trình cấp), chi phí nhân công, chi phí máy và thiết bị thi công. Chi phí trực tiếp được xác định trên cơ sở khối lượng và giá các công tác sửa chữa công trình, trong đó:</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a) Khối lượng công tác sửa chữa công trình được xác định dựa trên kết quả kiểm tra, đánh giá hiện trạng công trình và các tài liệu liên quan (nếu có) bao gồm: hồ sơ thiết kế sửa chữa, quy trình bảo trì công trình, tiêu chuẩn bảo trì, điều kiện quản lý khai thác thực tế của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 Giá công tác sửa chữa công trình xác định trên cơ sở định mức cho các công việc bảo trì công trình xây dựng hoặc tham khảo theo báo giá hoặc giá của công tác tương tự đã và đang thực hiện.</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 Chi phí gián tiếp: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2.1. Nội dung chi phí gián tiếp gồm các nội dung chi phí như mục 2.1 Phụ lục II ban hành kèm theo Thông tư này.</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2.2. Chi phí gián tiếp được xác định bằng định mức tỷ lệ phần trăm (%) nhân với chi phí nhân công trong chi phí trực tiếp của dự toán thực hiện sửa chữa. Định mức tỷ lệ phần trăm (%) xác định theo tổng chi phí nhân công thuộc chi phí trực tiếp trong dự toán chi phí sửa chữa của công trình như hướng dẫn tại Bảng 2.2 Phụ lục II ban hành kèm theo Thông tư này.</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2.3. Đối với các công trình tại vùng núi, biên giới, trên biển và hải đảo thì định mức tỷ lệ chi phí gián tiếp quy định tại Bảng 2.2 được điều chỉnh với hệ số từ 1,05 đến 1,1 tuỳ điều kiện cụ thể của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2.4. Trường hợp xác định theo định mức này không phù hợp thì được xác định bằng dự toán trên cơ sở nội dung chi phí gián tiếp quy định tại mục 2.1 nêu trên.</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3. Thu nhập chịu thuế tính trước xác định bằng định mức tỷ lệ phần trăm (%) nhân với chi phí trực tiếp và chi phí gián tiếp trong dự toán chi phí thực hiện sửa chữa công trình. Định mức tỷ lệ phần trăm (%) xác định theo loại công trình như hướng dẫn tại Bảng 2.3 Phụ lục II ban hành kèm theo Thông tư này.</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4. Chi phí nhà tạm phục vụ công việc sửa chữa công trình được xác định bằng định mức tỷ lệ phần trăm (%) nhân với chi phí thực hiện sửa chữa của công trình. Định mức tỷ lệ phần trăm (%) chi phí nhà tạm được xác định theo tổng chi phí thực hiện sửa chữa trước thuế của công trình như hướng dẫn tại bảng 2.4 Phụ lục II ban hành kèm theo Thông tư này.</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5. Thuế giá trị gia tăng (nếu có) được xác định theo quy định.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6. Tổng hợp dự toán chi phí thực hiện sửa chữa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Dự toán chi phí thực hiện sửa chữa công trình được tổng hợp theo Bảng 3.2 như sau:</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3.2. DỰ TOÁN CHI PHÍ THỰC HIỆN SỬA CHỮA CÔNG TRÌNH</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Công trình: …………………………………………………………………………………</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Địa điểm: ……………………………………………………………………………………</w:t>
      </w:r>
    </w:p>
    <w:p>
      <w:pPr>
        <w:pStyle w:val="BodyText"/>
        <w:widowControl/>
        <w:pBdr/>
        <w:bidi w:val="0"/>
        <w:spacing w:lineRule="auto" w:line="360" w:before="0" w:after="0"/>
        <w:ind w:hanging="0" w:start="0" w:end="0"/>
        <w:jc w:val="end"/>
        <w:rPr/>
      </w:pPr>
      <w:r>
        <w:rPr>
          <w:rStyle w:val="Emphasis"/>
          <w:rFonts w:ascii="Times New Roman" w:hAnsi="Times New Roman"/>
          <w:b w:val="false"/>
          <w:i w:val="false"/>
          <w:caps w:val="false"/>
          <w:smallCaps w:val="false"/>
          <w:color w:val="222222"/>
          <w:spacing w:val="0"/>
          <w:sz w:val="24"/>
          <w:szCs w:val="24"/>
        </w:rPr>
        <w:t>Đơn vị tính: đồng</w:t>
      </w:r>
    </w:p>
    <w:tbl>
      <w:tblPr>
        <w:tblW w:w="5000" w:type="pct"/>
        <w:jc w:val="start"/>
        <w:tblInd w:w="-10" w:type="dxa"/>
        <w:tblLayout w:type="fixed"/>
        <w:tblCellMar>
          <w:top w:w="28" w:type="dxa"/>
          <w:start w:w="28" w:type="dxa"/>
          <w:bottom w:w="28" w:type="dxa"/>
          <w:end w:w="28" w:type="dxa"/>
        </w:tblCellMar>
      </w:tblPr>
      <w:tblGrid>
        <w:gridCol w:w="555"/>
        <w:gridCol w:w="4459"/>
        <w:gridCol w:w="2582"/>
        <w:gridCol w:w="960"/>
        <w:gridCol w:w="1415"/>
      </w:tblGrid>
      <w:tr>
        <w:trPr/>
        <w:tc>
          <w:tcPr>
            <w:tcW w:w="55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STT</w:t>
            </w:r>
          </w:p>
        </w:tc>
        <w:tc>
          <w:tcPr>
            <w:tcW w:w="445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NỘI DUNG CHI PHÍ</w:t>
            </w:r>
          </w:p>
        </w:tc>
        <w:tc>
          <w:tcPr>
            <w:tcW w:w="258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CÁCH TÍNH</w:t>
            </w:r>
          </w:p>
        </w:tc>
        <w:tc>
          <w:tcPr>
            <w:tcW w:w="96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GIÁ TRỊ</w:t>
            </w:r>
          </w:p>
        </w:tc>
        <w:tc>
          <w:tcPr>
            <w:tcW w:w="141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KÝ HIỆU</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TRỰC TIẾP</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VL + NC + M</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T</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vật liệu</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drawing>
                <wp:inline distT="0" distB="0" distL="0" distR="0">
                  <wp:extent cx="847725" cy="409575"/>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tretch>
                            <a:fillRect/>
                          </a:stretch>
                        </pic:blipFill>
                        <pic:spPr bwMode="auto">
                          <a:xfrm>
                            <a:off x="0" y="0"/>
                            <a:ext cx="847725" cy="409575"/>
                          </a:xfrm>
                          <a:prstGeom prst="rect">
                            <a:avLst/>
                          </a:prstGeom>
                          <a:noFill/>
                        </pic:spPr>
                      </pic:pic>
                    </a:graphicData>
                  </a:graphic>
                </wp:inline>
              </w:drawing>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VL</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nhân công</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Emphasis"/>
                <w:rFonts w:ascii="Times New Roman" w:hAnsi="Times New Roman"/>
                <w:color w:val="222222"/>
                <w:sz w:val="24"/>
                <w:szCs w:val="24"/>
              </w:rPr>
              <w:drawing>
                <wp:inline distT="0" distB="0" distL="0" distR="0">
                  <wp:extent cx="857250" cy="419100"/>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857250" cy="419100"/>
                          </a:xfrm>
                          <a:prstGeom prst="rect">
                            <a:avLst/>
                          </a:prstGeom>
                          <a:noFill/>
                        </pic:spPr>
                      </pic:pic>
                    </a:graphicData>
                  </a:graphic>
                </wp:inline>
              </w:drawing>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NC</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máy và thiết bị thi công</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drawing>
                <wp:inline distT="0" distB="0" distL="0" distR="0">
                  <wp:extent cx="942975" cy="419100"/>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7"/>
                          <a:stretch>
                            <a:fillRect/>
                          </a:stretch>
                        </pic:blipFill>
                        <pic:spPr bwMode="auto">
                          <a:xfrm>
                            <a:off x="0" y="0"/>
                            <a:ext cx="942975" cy="419100"/>
                          </a:xfrm>
                          <a:prstGeom prst="rect">
                            <a:avLst/>
                          </a:prstGeom>
                          <a:noFill/>
                        </pic:spPr>
                      </pic:pic>
                    </a:graphicData>
                  </a:graphic>
                </wp:inline>
              </w:drawing>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M</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II</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GIÁN TIẾP</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NC x Tỷ lệ</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III</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THU NHẬP CHỊU THUẾ TÍNH TRƯỚC</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 + GT) x Tỷ lệ</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TL</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thực hiện sửa chữa trước thuế</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(T + GT + TL)</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GTHSCTT</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IV</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THUẾ GIÁ TRỊ GIA TĂNG</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GTHSCTT x TGTGT</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GTGT</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pPr>
            <w:r>
              <w:rPr>
                <w:rStyle w:val="Strong"/>
                <w:rFonts w:ascii="Times New Roman" w:hAnsi="Times New Roman"/>
                <w:b/>
                <w:color w:val="222222"/>
                <w:sz w:val="24"/>
                <w:szCs w:val="24"/>
              </w:rPr>
              <w:t>Chi phí thực hiện sửa chữa sau thuế</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GTHSCTT + GTGT</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GTHSC</w:t>
            </w:r>
          </w:p>
        </w:tc>
      </w:tr>
      <w:tr>
        <w:trPr/>
        <w:tc>
          <w:tcPr>
            <w:tcW w:w="55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V</w:t>
            </w:r>
          </w:p>
        </w:tc>
        <w:tc>
          <w:tcPr>
            <w:tcW w:w="445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Chi phí nhà tạm</w:t>
            </w:r>
          </w:p>
        </w:tc>
        <w:tc>
          <w:tcPr>
            <w:tcW w:w="2582"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GTHSC </w:t>
            </w:r>
            <w:r>
              <w:rPr>
                <w:rFonts w:ascii="Times New Roman" w:hAnsi="Times New Roman"/>
                <w:color w:val="222222"/>
                <w:sz w:val="24"/>
                <w:szCs w:val="24"/>
              </w:rPr>
              <w:t>x Tỷ lệ</w:t>
            </w:r>
          </w:p>
        </w:tc>
        <w:tc>
          <w:tcPr>
            <w:tcW w:w="960"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w:t>
            </w:r>
          </w:p>
        </w:tc>
        <w:tc>
          <w:tcPr>
            <w:tcW w:w="1415"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pPr>
            <w:r>
              <w:rPr>
                <w:rStyle w:val="Strong"/>
                <w:rFonts w:ascii="Times New Roman" w:hAnsi="Times New Roman"/>
                <w:b/>
                <w:color w:val="222222"/>
                <w:sz w:val="24"/>
                <w:szCs w:val="24"/>
              </w:rPr>
              <w:t>LT</w:t>
            </w:r>
          </w:p>
        </w:tc>
      </w:tr>
    </w:tbl>
    <w:p>
      <w:pPr>
        <w:pStyle w:val="BodyText"/>
        <w:widowControl/>
        <w:pBdr/>
        <w:bidi w:val="0"/>
        <w:spacing w:lineRule="auto" w:line="360" w:before="0" w:after="120"/>
        <w:ind w:firstLine="720" w:start="0" w:end="0"/>
        <w:jc w:val="both"/>
        <w:rPr/>
      </w:pPr>
      <w:r>
        <w:rPr>
          <w:rStyle w:val="Emphasis"/>
          <w:rFonts w:ascii="Times New Roman" w:hAnsi="Times New Roman"/>
          <w:b w:val="false"/>
          <w:i w:val="false"/>
          <w:caps w:val="false"/>
          <w:smallCaps w:val="false"/>
          <w:color w:val="222222"/>
          <w:spacing w:val="0"/>
          <w:sz w:val="24"/>
          <w:szCs w:val="24"/>
        </w:rPr>
        <w:t>Trong đó:</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Qj là khối lượng công tác thực hiện sửa chữa công trình thứ j (j = 1 + n);</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DjVL , DjNC , DjMTC chi phí vật liệu, nhân công, máy thi công trong giá công tác thực hiện sửa chữa trực tiếp của công trình đối với công tác thực hiện sửa chữa thứ j;</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GT: Chi phí gián tiếp;</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TL: thu nhập chịu thuế tính trước;</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GTHSCTT: Chi phí thực hiện sửa chữa phần xây dựng công trình trước thuế;</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TGTGT : mức thuế suất thuế GTGT (nếu có);</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GTHSC : Chi phí thực hiện sửa chữa phần xây dựng công trình sau thuế.</w:t>
      </w:r>
    </w:p>
    <w:p>
      <w:pPr>
        <w:pStyle w:val="BodyText"/>
        <w:widowControl/>
        <w:pBdr/>
        <w:bidi w:val="0"/>
        <w:spacing w:lineRule="auto" w:line="360" w:before="0" w:after="120"/>
        <w:ind w:firstLine="720" w:start="0" w:end="0"/>
        <w:jc w:val="both"/>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LT: Chi phí nhà tạm.</w:t>
      </w:r>
    </w:p>
    <w:p>
      <w:pPr>
        <w:pStyle w:val="BodyText"/>
        <w:widowControl/>
        <w:pBdr/>
        <w:bidi w:val="0"/>
        <w:spacing w:lineRule="auto" w:line="360" w:before="0" w:after="120"/>
        <w:ind w:firstLine="720" w:start="0" w:end="0"/>
        <w:jc w:val="both"/>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bidi w:val="0"/>
        <w:ind w:hanging="0" w:start="0" w:end="0"/>
        <w:jc w:val="start"/>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Phụ lục IV</w:t>
      </w:r>
    </w:p>
    <w:p>
      <w:pPr>
        <w:pStyle w:val="BodyText"/>
        <w:widowControl/>
        <w:pBdr/>
        <w:bidi w:val="0"/>
        <w:spacing w:lineRule="auto" w:line="360" w:before="0" w:after="0"/>
        <w:ind w:hanging="0" w:start="0" w:end="0"/>
        <w:jc w:val="center"/>
        <w:rPr/>
      </w:pPr>
      <w:r>
        <w:rPr>
          <w:rStyle w:val="Strong"/>
          <w:rFonts w:ascii="Times New Roman" w:hAnsi="Times New Roman"/>
          <w:b/>
          <w:i w:val="false"/>
          <w:caps w:val="false"/>
          <w:smallCaps w:val="false"/>
          <w:color w:val="222222"/>
          <w:spacing w:val="0"/>
          <w:sz w:val="24"/>
          <w:szCs w:val="24"/>
        </w:rPr>
        <w:t>CHI PHÍ QUẢN LÝ CỦA CHỦ SỞ HỮU, CHỦ SỬ DỤNG CÔNG TRÌNH </w:t>
      </w:r>
    </w:p>
    <w:p>
      <w:pPr>
        <w:pStyle w:val="BodyText"/>
        <w:widowControl/>
        <w:pBdr/>
        <w:bidi w:val="0"/>
        <w:spacing w:lineRule="auto" w:line="360" w:before="0" w:after="0"/>
        <w:ind w:hanging="0" w:start="0" w:end="0"/>
        <w:jc w:val="center"/>
        <w:rPr/>
      </w:pPr>
      <w:r>
        <w:rPr>
          <w:rStyle w:val="Emphasis"/>
          <w:rFonts w:ascii="Times New Roman" w:hAnsi="Times New Roman"/>
          <w:b w:val="false"/>
          <w:i w:val="false"/>
          <w:caps w:val="false"/>
          <w:smallCaps w:val="false"/>
          <w:color w:val="222222"/>
          <w:spacing w:val="0"/>
          <w:sz w:val="24"/>
          <w:szCs w:val="24"/>
        </w:rPr>
        <w:t>(Ban hành kèm theo Thông tư số 40/2026/TT-BXD ngày 26 tháng 6 năm 2026 </w:t>
        <w:br/>
        <w:t>của Bộ trưởng Bộ Xây dựng)</w:t>
      </w:r>
    </w:p>
    <w:p>
      <w:pPr>
        <w:pStyle w:val="BodyText"/>
        <w:widowControl/>
        <w:pBdr/>
        <w:bidi w:val="0"/>
        <w:spacing w:before="0" w:after="0"/>
        <w:ind w:hanging="0" w:start="0" w:end="0"/>
        <w:jc w:val="center"/>
        <w:rPr>
          <w:rFonts w:ascii="Times New Roman" w:hAnsi="Times New Roman"/>
          <w:caps w:val="false"/>
          <w:smallCaps w:val="false"/>
          <w:color w:val="222222"/>
          <w:spacing w:val="0"/>
          <w:sz w:val="24"/>
          <w:szCs w:val="24"/>
        </w:rPr>
      </w:pPr>
      <w:r>
        <w:rPr>
          <w:rFonts w:ascii="Times New Roman" w:hAnsi="Times New Roman"/>
          <w:caps w:val="false"/>
          <w:smallCaps w:val="false"/>
          <w:color w:val="222222"/>
          <w:spacing w:val="0"/>
          <w:sz w:val="24"/>
          <w:szCs w:val="24"/>
        </w:rPr>
        <w:t> </w:t>
      </w:r>
    </w:p>
    <w:p>
      <w:pPr>
        <w:pStyle w:val="BodyText"/>
        <w:widowControl/>
        <w:pBdr/>
        <w:bidi w:val="0"/>
        <w:spacing w:lineRule="auto" w:line="360" w:before="0" w:after="120"/>
        <w:ind w:hanging="0" w:start="0" w:end="0"/>
        <w:jc w:val="start"/>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Chi phí quản lý của chủ sở hữu, chủ sử dụng công trình (GQL) được xác định bằng định mức tỷ lệ phần trăm (%) nhân với tổng chi phí bảo dưỡng công trình và chi phí sửa chữa công trình trước thuế thuộc phạm vi quản lý của từng chủ sở hữu, chủ sử dụng công trình quy định tại Điều 3 và Điều 4 Thông tư này theo công thức sau:</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GQL =  (GBDTT + GSCTT)  x tQLBD</w:t>
      </w:r>
    </w:p>
    <w:p>
      <w:pPr>
        <w:pStyle w:val="BodyText"/>
        <w:widowControl/>
        <w:pBdr/>
        <w:bidi w:val="0"/>
        <w:spacing w:lineRule="auto" w:line="360" w:before="0" w:after="120"/>
        <w:ind w:hanging="0" w:start="0" w:end="0"/>
        <w:jc w:val="start"/>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Trong đó:</w:t>
      </w:r>
    </w:p>
    <w:p>
      <w:pPr>
        <w:pStyle w:val="BodyText"/>
        <w:widowControl/>
        <w:pBdr/>
        <w:bidi w:val="0"/>
        <w:spacing w:lineRule="auto" w:line="360" w:before="0" w:after="120"/>
        <w:ind w:hanging="0" w:start="0" w:end="0"/>
        <w:jc w:val="start"/>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tQLBD: Định mức tỷ lệ phần trăm chi phí quản lý của chủ sở hữu, chủ sử dụng công trình quy định tại Bảng 4 được xác định theo chi phí thực hiện công việc bảo dưỡng và sửa chữa các công trình xây dựng của từng chủ sở hữu, chủ sử dụng công trình theo kế hoạch bảo trì.</w:t>
      </w:r>
    </w:p>
    <w:p>
      <w:pPr>
        <w:pStyle w:val="BodyText"/>
        <w:widowControl/>
        <w:pBdr/>
        <w:bidi w:val="0"/>
        <w:spacing w:lineRule="auto" w:line="360" w:before="0" w:after="120"/>
        <w:ind w:hanging="0" w:start="0" w:end="0"/>
        <w:jc w:val="start"/>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GBDTT: Chi phí bảo dưỡng công trình trước thuế.</w:t>
      </w:r>
    </w:p>
    <w:p>
      <w:pPr>
        <w:pStyle w:val="BodyText"/>
        <w:widowControl/>
        <w:pBdr/>
        <w:bidi w:val="0"/>
        <w:spacing w:lineRule="auto" w:line="360" w:before="0" w:after="120"/>
        <w:ind w:hanging="0" w:start="0" w:end="0"/>
        <w:jc w:val="start"/>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 GSCTT: Chi phí sửa chữa công trình trước thuế.</w:t>
      </w:r>
    </w:p>
    <w:p>
      <w:pPr>
        <w:pStyle w:val="BodyText"/>
        <w:widowControl/>
        <w:pBdr/>
        <w:bidi w:val="0"/>
        <w:spacing w:lineRule="auto" w:line="360" w:before="0" w:after="120"/>
        <w:ind w:hanging="0" w:start="0" w:end="0"/>
        <w:jc w:val="center"/>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Bảng 4. ĐỊNH MỨC CHI PHÍ QUẢN LÝ</w:t>
        <w:br/>
        <w:t>CỦA CHỦ SỞ HỮU, CHỦ SỬ DỤNG CÔNG TRÌNH</w:t>
      </w:r>
    </w:p>
    <w:tbl>
      <w:tblPr>
        <w:tblW w:w="5000" w:type="pct"/>
        <w:jc w:val="start"/>
        <w:tblInd w:w="-10" w:type="dxa"/>
        <w:tblLayout w:type="fixed"/>
        <w:tblCellMar>
          <w:top w:w="28" w:type="dxa"/>
          <w:start w:w="28" w:type="dxa"/>
          <w:bottom w:w="28" w:type="dxa"/>
          <w:end w:w="28" w:type="dxa"/>
        </w:tblCellMar>
      </w:tblPr>
      <w:tblGrid>
        <w:gridCol w:w="467"/>
        <w:gridCol w:w="2097"/>
        <w:gridCol w:w="1019"/>
        <w:gridCol w:w="1019"/>
        <w:gridCol w:w="1019"/>
        <w:gridCol w:w="1019"/>
        <w:gridCol w:w="1019"/>
        <w:gridCol w:w="1019"/>
        <w:gridCol w:w="1294"/>
      </w:tblGrid>
      <w:tr>
        <w:trPr/>
        <w:tc>
          <w:tcPr>
            <w:tcW w:w="467" w:type="dxa"/>
            <w:vMerge w:val="restart"/>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STT</w:t>
            </w:r>
          </w:p>
        </w:tc>
        <w:tc>
          <w:tcPr>
            <w:tcW w:w="2097"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Loại công trình</w:t>
            </w:r>
          </w:p>
        </w:tc>
        <w:tc>
          <w:tcPr>
            <w:tcW w:w="7408" w:type="dxa"/>
            <w:gridSpan w:val="7"/>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Chi phí thực hiện bảo dưỡng và sửa chữa các công trình xác định theo kế hoạch bảo trì (chưa có thuế GTGT) (tỷ đồng)</w:t>
            </w:r>
          </w:p>
        </w:tc>
      </w:tr>
      <w:tr>
        <w:trPr/>
        <w:tc>
          <w:tcPr>
            <w:tcW w:w="467" w:type="dxa"/>
            <w:vMerge w:val="continue"/>
            <w:tcBorders>
              <w:top w:val="single" w:sz="8" w:space="0" w:color="000000"/>
              <w:start w:val="single" w:sz="8" w:space="0" w:color="000000"/>
              <w:bottom w:val="single" w:sz="8" w:space="0" w:color="000000"/>
              <w:end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097"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xml:space="preserve">≤ </w:t>
            </w:r>
            <w:r>
              <w:rPr>
                <w:rFonts w:ascii="Times New Roman" w:hAnsi="Times New Roman"/>
                <w:color w:val="222222"/>
                <w:sz w:val="24"/>
                <w:szCs w:val="24"/>
              </w:rPr>
              <w:t>10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100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200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500</w:t>
            </w:r>
          </w:p>
        </w:tc>
        <w:tc>
          <w:tcPr>
            <w:tcW w:w="129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 xml:space="preserve">≤ </w:t>
            </w:r>
            <w:r>
              <w:rPr>
                <w:rFonts w:ascii="Times New Roman" w:hAnsi="Times New Roman"/>
                <w:color w:val="222222"/>
                <w:sz w:val="24"/>
                <w:szCs w:val="24"/>
              </w:rPr>
              <w:t>1.000</w:t>
            </w:r>
          </w:p>
        </w:tc>
      </w:tr>
      <w:tr>
        <w:trPr/>
        <w:tc>
          <w:tcPr>
            <w:tcW w:w="46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w:t>
            </w:r>
          </w:p>
        </w:tc>
        <w:tc>
          <w:tcPr>
            <w:tcW w:w="209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dân dụng</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3,446</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2,923</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2,610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2,017</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1,886</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1,514</w:t>
            </w:r>
          </w:p>
        </w:tc>
        <w:tc>
          <w:tcPr>
            <w:tcW w:w="129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1,239</w:t>
            </w:r>
          </w:p>
        </w:tc>
      </w:tr>
      <w:tr>
        <w:trPr/>
        <w:tc>
          <w:tcPr>
            <w:tcW w:w="46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w:t>
            </w:r>
          </w:p>
        </w:tc>
        <w:tc>
          <w:tcPr>
            <w:tcW w:w="209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công nghiệp</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3,557</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3,018</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2,694</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2,082</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1,947</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1,564</w:t>
            </w:r>
          </w:p>
        </w:tc>
        <w:tc>
          <w:tcPr>
            <w:tcW w:w="129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1,279</w:t>
            </w:r>
          </w:p>
        </w:tc>
      </w:tr>
      <w:tr>
        <w:trPr/>
        <w:tc>
          <w:tcPr>
            <w:tcW w:w="46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w:t>
            </w:r>
          </w:p>
        </w:tc>
        <w:tc>
          <w:tcPr>
            <w:tcW w:w="209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giao thông</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3,024</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2,566</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2,292</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1,771</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1,655</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1,329</w:t>
            </w:r>
          </w:p>
        </w:tc>
        <w:tc>
          <w:tcPr>
            <w:tcW w:w="129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1,088</w:t>
            </w:r>
          </w:p>
        </w:tc>
      </w:tr>
      <w:tr>
        <w:trPr/>
        <w:tc>
          <w:tcPr>
            <w:tcW w:w="46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4</w:t>
            </w:r>
          </w:p>
        </w:tc>
        <w:tc>
          <w:tcPr>
            <w:tcW w:w="209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nông nghiệp và môi trường</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3,263</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2,769</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2,473</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1,910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1,786</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1,434</w:t>
            </w:r>
          </w:p>
        </w:tc>
        <w:tc>
          <w:tcPr>
            <w:tcW w:w="129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1,174</w:t>
            </w:r>
          </w:p>
        </w:tc>
      </w:tr>
      <w:tr>
        <w:trPr/>
        <w:tc>
          <w:tcPr>
            <w:tcW w:w="46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5</w:t>
            </w:r>
          </w:p>
        </w:tc>
        <w:tc>
          <w:tcPr>
            <w:tcW w:w="2097"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start"/>
              <w:rPr>
                <w:rFonts w:ascii="Times New Roman" w:hAnsi="Times New Roman"/>
                <w:color w:val="222222"/>
                <w:sz w:val="24"/>
                <w:szCs w:val="24"/>
              </w:rPr>
            </w:pPr>
            <w:r>
              <w:rPr>
                <w:rFonts w:ascii="Times New Roman" w:hAnsi="Times New Roman"/>
                <w:color w:val="222222"/>
                <w:sz w:val="24"/>
                <w:szCs w:val="24"/>
              </w:rPr>
              <w:t>Công trình hạ tầng kỹ thuật</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2,901</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2,461</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2,198</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1,593</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1,560</w:t>
            </w:r>
          </w:p>
        </w:tc>
        <w:tc>
          <w:tcPr>
            <w:tcW w:w="1019"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1,275</w:t>
            </w:r>
          </w:p>
        </w:tc>
        <w:tc>
          <w:tcPr>
            <w:tcW w:w="1294" w:type="dxa"/>
            <w:tcBorders>
              <w:bottom w:val="single" w:sz="8" w:space="0" w:color="000000"/>
              <w:end w:val="single" w:sz="8" w:space="0" w:color="000000"/>
            </w:tcBorders>
            <w:tcMar>
              <w:top w:w="0" w:type="dxa"/>
              <w:start w:w="0" w:type="dxa"/>
            </w:tcMar>
            <w:vAlign w:val="center"/>
          </w:tcPr>
          <w:p>
            <w:pPr>
              <w:pStyle w:val="TableContents"/>
              <w:pBdr/>
              <w:bidi w:val="0"/>
              <w:spacing w:lineRule="auto" w:line="360" w:before="0" w:after="0"/>
              <w:ind w:hanging="0" w:start="0" w:end="0"/>
              <w:jc w:val="center"/>
              <w:rPr>
                <w:rFonts w:ascii="Times New Roman" w:hAnsi="Times New Roman"/>
                <w:color w:val="222222"/>
                <w:sz w:val="24"/>
                <w:szCs w:val="24"/>
              </w:rPr>
            </w:pPr>
            <w:r>
              <w:rPr>
                <w:rFonts w:ascii="Times New Roman" w:hAnsi="Times New Roman"/>
                <w:color w:val="222222"/>
                <w:sz w:val="24"/>
                <w:szCs w:val="24"/>
              </w:rPr>
              <w:t>1,071</w:t>
            </w:r>
          </w:p>
        </w:tc>
      </w:tr>
    </w:tbl>
    <w:p>
      <w:pPr>
        <w:pStyle w:val="BodyText"/>
        <w:widowControl/>
        <w:pBdr/>
        <w:bidi w:val="0"/>
        <w:spacing w:lineRule="auto" w:line="360" w:before="0" w:after="120"/>
        <w:ind w:hanging="0" w:start="0" w:end="0"/>
        <w:jc w:val="start"/>
        <w:rPr>
          <w:rFonts w:ascii="Times New Roman" w:hAnsi="Times New Roman"/>
          <w:b w:val="false"/>
          <w:i w:val="false"/>
          <w:caps w:val="false"/>
          <w:smallCaps w:val="false"/>
          <w:color w:val="222222"/>
          <w:spacing w:val="0"/>
          <w:sz w:val="24"/>
          <w:szCs w:val="24"/>
        </w:rPr>
      </w:pPr>
      <w:r>
        <w:rPr>
          <w:rFonts w:ascii="Times New Roman" w:hAnsi="Times New Roman"/>
          <w:b w:val="false"/>
          <w:i w:val="false"/>
          <w:caps w:val="false"/>
          <w:smallCaps w:val="false"/>
          <w:color w:val="222222"/>
          <w:spacing w:val="0"/>
          <w:sz w:val="24"/>
          <w:szCs w:val="24"/>
        </w:rPr>
        <w:t>Ghi chú: Chi phí quản lý của chủ sở hữu, chủ sử dụng công trình xác định theo định mức ban hành tại bảng 4 kèm theo Thông tư này tối thiểu không nhỏ hơn 2.000.000 đồng.</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en-US"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gif"/><Relationship Id="rId3" Type="http://schemas.openxmlformats.org/officeDocument/2006/relationships/image" Target="media/image2.gif"/><Relationship Id="rId4" Type="http://schemas.openxmlformats.org/officeDocument/2006/relationships/image" Target="media/image3.gif"/><Relationship Id="rId5" Type="http://schemas.openxmlformats.org/officeDocument/2006/relationships/image" Target="media/image4.gif"/><Relationship Id="rId6" Type="http://schemas.openxmlformats.org/officeDocument/2006/relationships/image" Target="media/image5.gif"/><Relationship Id="rId7" Type="http://schemas.openxmlformats.org/officeDocument/2006/relationships/image" Target="media/image6.gif"/><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11</Pages>
  <Words>3299</Words>
  <Characters>11597</Characters>
  <CharactersWithSpaces>14658</CharactersWithSpaces>
  <Paragraphs>633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2026-06-29T15:33:59Z</dcterms:created>
  <dc:creator/>
  <dc:description/>
  <dc:language>en-US</dc:language>
  <cp:lastModifiedBy/>
  <dcterms:modified xsi:type="dcterms:W3CDTF">2026-06-29T15:34:46Z</dcterms:modified>
  <cp:revision>1</cp:revision>
  <dc:subject/>
  <dc:title/>
</cp:coreProperties>
</file>