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header2.xml" ContentType="application/vnd.openxmlformats-officedocument.wordprocessingml.header+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9580" w:type="dxa"/>
        <w:jc w:val="left"/>
        <w:tblInd w:w="0" w:type="dxa"/>
        <w:tblLayout w:type="fixed"/>
        <w:tblCellMar>
          <w:top w:w="0" w:type="dxa"/>
          <w:left w:w="108" w:type="dxa"/>
          <w:bottom w:w="0" w:type="dxa"/>
          <w:right w:w="108" w:type="dxa"/>
        </w:tblCellMar>
      </w:tblPr>
      <w:tblGrid>
        <w:gridCol w:w="3744"/>
        <w:gridCol w:w="5836"/>
      </w:tblGrid>
      <w:tr>
        <w:trPr/>
        <w:tc>
          <w:tcPr>
            <w:tcW w:w="3744" w:type="dxa"/>
            <w:tcBorders/>
          </w:tcPr>
          <w:p>
            <w:pPr>
              <w:pStyle w:val="Normal"/>
              <w:spacing w:lineRule="auto" w:line="264" w:before="80" w:after="0"/>
              <w:jc w:val="center"/>
              <w:rPr>
                <w:b/>
                <w:bCs/>
                <w:sz w:val="26"/>
                <w:szCs w:val="26"/>
              </w:rPr>
            </w:pPr>
            <w:bookmarkStart w:id="0" w:name="_Hlk201415941"/>
            <w:bookmarkEnd w:id="0"/>
            <w:r>
              <w:rPr>
                <w:b/>
                <w:bCs/>
                <w:sz w:val="26"/>
                <w:szCs w:val="26"/>
              </w:rPr>
              <w:t>BỘ GIÁO DỤC VÀ ĐÀO TẠO</w:t>
            </w:r>
          </w:p>
          <w:p>
            <w:pPr>
              <w:pStyle w:val="Normal"/>
              <w:spacing w:lineRule="auto" w:line="264" w:before="80" w:after="0"/>
              <w:jc w:val="center"/>
              <w:rPr>
                <w:b/>
                <w:bCs/>
                <w:sz w:val="26"/>
                <w:szCs w:val="26"/>
                <w:lang w:val="vi-VN" w:eastAsia="vi-VN"/>
              </w:rPr>
            </w:pPr>
            <w:r>
              <w:rPr>
                <w:b/>
                <w:bCs/>
                <w:sz w:val="26"/>
                <w:szCs w:val="26"/>
                <w:lang w:val="vi-VN" w:eastAsia="vi-VN"/>
              </w:rPr>
              <mc:AlternateContent>
                <mc:Choice Requires="wps">
                  <w:drawing>
                    <wp:anchor distT="0" distB="0" distL="114935" distR="114935" simplePos="0" relativeHeight="2" behindDoc="0" locked="0" layoutInCell="1" allowOverlap="1">
                      <wp:simplePos x="0" y="0"/>
                      <wp:positionH relativeFrom="column">
                        <wp:posOffset>491490</wp:posOffset>
                      </wp:positionH>
                      <wp:positionV relativeFrom="paragraph">
                        <wp:posOffset>66040</wp:posOffset>
                      </wp:positionV>
                      <wp:extent cx="1143000" cy="0"/>
                      <wp:effectExtent l="0" t="5080" r="0" b="5080"/>
                      <wp:wrapNone/>
                      <wp:docPr id="1" name=""/>
                      <a:graphic xmlns:a="http://schemas.openxmlformats.org/drawingml/2006/main">
                        <a:graphicData uri="http://schemas.microsoft.com/office/word/2010/wordprocessingShape">
                          <wps:wsp>
                            <wps:cNvSpPr/>
                            <wps:spPr>
                              <a:xfrm>
                                <a:off x="0" y="0"/>
                                <a:ext cx="1143000" cy="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38.7pt,5.2pt" to="128.65pt,5.2pt" stroked="t" o:allowincell="t" style="position:absolute">
                      <v:stroke color="black" weight="9360" joinstyle="miter" endcap="flat"/>
                      <v:fill o:detectmouseclick="t" on="false"/>
                      <w10:wrap type="none"/>
                    </v:line>
                  </w:pict>
                </mc:Fallback>
              </mc:AlternateContent>
            </w:r>
          </w:p>
          <w:p>
            <w:pPr>
              <w:pStyle w:val="Normal"/>
              <w:spacing w:lineRule="auto" w:line="264" w:before="80" w:after="0"/>
              <w:jc w:val="center"/>
              <w:rPr>
                <w:sz w:val="26"/>
                <w:szCs w:val="26"/>
              </w:rPr>
            </w:pPr>
            <w:r>
              <w:rPr>
                <w:sz w:val="26"/>
                <w:szCs w:val="26"/>
              </w:rPr>
              <w:t>Số:       /2026/TT-BGDĐT</w:t>
            </w:r>
          </w:p>
          <w:p>
            <w:pPr>
              <w:pStyle w:val="Normal"/>
              <w:spacing w:lineRule="auto" w:line="264" w:before="80" w:after="0"/>
              <w:jc w:val="center"/>
              <w:rPr/>
            </w:pPr>
            <w:r>
              <w:rPr>
                <w:bCs/>
                <w:sz w:val="26"/>
                <w:szCs w:val="26"/>
              </w:rPr>
              <w:t>(</w:t>
            </w:r>
            <w:r>
              <w:rPr>
                <w:b/>
                <w:bCs/>
                <w:sz w:val="26"/>
                <w:szCs w:val="26"/>
              </w:rPr>
              <w:t>Dự thảo 06.7.2026</w:t>
            </w:r>
            <w:r>
              <w:rPr>
                <w:bCs/>
                <w:sz w:val="26"/>
                <w:szCs w:val="26"/>
              </w:rPr>
              <w:t>)</w:t>
            </w:r>
          </w:p>
        </w:tc>
        <w:tc>
          <w:tcPr>
            <w:tcW w:w="5836" w:type="dxa"/>
            <w:tcBorders/>
          </w:tcPr>
          <w:p>
            <w:pPr>
              <w:pStyle w:val="Normal"/>
              <w:spacing w:lineRule="auto" w:line="264" w:before="80" w:after="0"/>
              <w:jc w:val="center"/>
              <w:rPr/>
            </w:pPr>
            <w:r>
              <mc:AlternateContent>
                <mc:Choice Requires="wps">
                  <w:drawing>
                    <wp:anchor distT="0" distB="0" distL="114935" distR="114935" simplePos="0" relativeHeight="3" behindDoc="0" locked="0" layoutInCell="1" allowOverlap="1">
                      <wp:simplePos x="0" y="0"/>
                      <wp:positionH relativeFrom="column">
                        <wp:posOffset>701040</wp:posOffset>
                      </wp:positionH>
                      <wp:positionV relativeFrom="paragraph">
                        <wp:posOffset>501650</wp:posOffset>
                      </wp:positionV>
                      <wp:extent cx="2158365" cy="0"/>
                      <wp:effectExtent l="0" t="5080" r="0" b="5080"/>
                      <wp:wrapNone/>
                      <wp:docPr id="2" name=""/>
                      <a:graphic xmlns:a="http://schemas.openxmlformats.org/drawingml/2006/main">
                        <a:graphicData uri="http://schemas.microsoft.com/office/word/2010/wordprocessingShape">
                          <wps:wsp>
                            <wps:cNvSpPr/>
                            <wps:spPr>
                              <a:xfrm>
                                <a:off x="0" y="0"/>
                                <a:ext cx="2158200" cy="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55.2pt,39.5pt" to="225.1pt,39.5pt" stroked="t" o:allowincell="t" style="position:absolute">
                      <v:stroke color="black" weight="9360" joinstyle="miter" endcap="flat"/>
                      <v:fill o:detectmouseclick="t" on="false"/>
                      <w10:wrap type="none"/>
                    </v:line>
                  </w:pict>
                </mc:Fallback>
              </mc:AlternateContent>
            </w:r>
            <w:r>
              <w:rPr>
                <w:b/>
                <w:bCs/>
                <w:sz w:val="26"/>
                <w:szCs w:val="26"/>
              </w:rPr>
              <w:t>CỘNG HÒA XÃ HỘI CHỦ NGHĨA VIỆT NAM</w:t>
              <w:br/>
            </w:r>
            <w:r>
              <w:rPr>
                <w:b/>
                <w:bCs/>
              </w:rPr>
              <w:t>Độc lập - Tự do - Hạnh phúc</w:t>
            </w:r>
          </w:p>
          <w:p>
            <w:pPr>
              <w:pStyle w:val="Normal"/>
              <w:spacing w:lineRule="auto" w:line="264" w:before="80" w:after="0"/>
              <w:jc w:val="center"/>
              <w:rPr>
                <w:b/>
                <w:sz w:val="26"/>
                <w:szCs w:val="26"/>
              </w:rPr>
            </w:pPr>
            <w:r>
              <w:rPr>
                <w:i/>
                <w:iCs/>
              </w:rPr>
              <w:t>Hà Nội, ngày      tháng     năm 2026</w:t>
            </w:r>
          </w:p>
        </w:tc>
      </w:tr>
    </w:tbl>
    <w:p>
      <w:pPr>
        <w:pStyle w:val="Normal"/>
        <w:jc w:val="center"/>
        <w:rPr>
          <w:b/>
          <w:bCs/>
          <w:lang w:val="vi-VN"/>
        </w:rPr>
      </w:pPr>
      <w:r>
        <w:rPr>
          <w:b/>
          <w:bCs/>
          <w:lang w:val="vi-VN"/>
        </w:rPr>
      </w:r>
      <w:bookmarkStart w:id="1" w:name="_Hlk503372361"/>
      <w:bookmarkStart w:id="2" w:name="_Hlk52955068"/>
    </w:p>
    <w:p>
      <w:pPr>
        <w:pStyle w:val="Normal"/>
        <w:jc w:val="center"/>
        <w:rPr>
          <w:b/>
          <w:bCs/>
          <w:lang w:val="vi-VN"/>
        </w:rPr>
      </w:pPr>
      <w:r>
        <w:rPr>
          <w:b/>
          <w:bCs/>
          <w:lang w:val="vi-VN"/>
        </w:rPr>
        <w:t>THÔNG TƯ</w:t>
      </w:r>
    </w:p>
    <w:p>
      <w:pPr>
        <w:pStyle w:val="Normal"/>
        <w:jc w:val="center"/>
        <w:rPr>
          <w:b/>
          <w:bCs/>
        </w:rPr>
      </w:pPr>
      <w:r>
        <w:rPr>
          <w:b/>
          <w:bCs/>
          <w:lang w:val="vi-VN"/>
        </w:rPr>
        <w:t>Quy định</w:t>
      </w:r>
      <w:r>
        <w:rPr>
          <w:b/>
          <w:bCs/>
        </w:rPr>
        <w:t xml:space="preserve"> </w:t>
      </w:r>
      <w:r>
        <w:rPr>
          <w:b/>
          <w:bCs/>
          <w:lang w:val="vi-VN"/>
        </w:rPr>
        <w:t>tiêu chuẩn,</w:t>
      </w:r>
      <w:r>
        <w:rPr>
          <w:b/>
          <w:bCs/>
        </w:rPr>
        <w:t xml:space="preserve"> điều kiện, </w:t>
      </w:r>
      <w:r>
        <w:rPr>
          <w:b/>
          <w:bCs/>
          <w:lang w:val="vi-VN"/>
        </w:rPr>
        <w:t>chế độ làm việc</w:t>
      </w:r>
      <w:r>
        <w:rPr>
          <w:b/>
          <w:bCs/>
        </w:rPr>
        <w:t>, bổ nhiệm và xếp lương</w:t>
      </w:r>
    </w:p>
    <w:p>
      <w:pPr>
        <w:pStyle w:val="Normal"/>
        <w:jc w:val="center"/>
        <w:rPr>
          <w:b/>
          <w:bCs/>
        </w:rPr>
      </w:pPr>
      <w:r>
        <w:rPr>
          <w:b/>
          <w:bCs/>
          <w:lang w:val="vi-VN"/>
        </w:rPr>
        <w:t xml:space="preserve">đối với </w:t>
      </w:r>
      <w:r>
        <w:rPr>
          <w:b/>
          <w:bCs/>
        </w:rPr>
        <w:t xml:space="preserve">nhân sự hỗ trợ giáo dục </w:t>
      </w:r>
      <w:r>
        <w:rPr>
          <w:b/>
          <w:bCs/>
          <w:lang w:val="vi-VN"/>
        </w:rPr>
        <w:t xml:space="preserve">đại học </w:t>
      </w:r>
    </w:p>
    <w:p>
      <w:pPr>
        <w:pStyle w:val="NormalWeb"/>
        <w:spacing w:lineRule="auto" w:line="288" w:before="120" w:after="0"/>
        <w:jc w:val="both"/>
        <w:rPr>
          <w:b/>
          <w:bCs/>
          <w:i/>
          <w:iCs/>
          <w:sz w:val="28"/>
          <w:szCs w:val="28"/>
          <w:lang w:val="vi-VN" w:eastAsia="vi-VN"/>
        </w:rPr>
      </w:pPr>
      <w:r>
        <w:rPr>
          <w:b/>
          <w:bCs/>
          <w:i/>
          <w:iCs/>
          <w:sz w:val="28"/>
          <w:szCs w:val="28"/>
          <w:lang w:val="vi-VN" w:eastAsia="vi-VN"/>
        </w:rPr>
        <mc:AlternateContent>
          <mc:Choice Requires="wps">
            <w:drawing>
              <wp:anchor distT="0" distB="0" distL="114935" distR="114935" simplePos="0" relativeHeight="4" behindDoc="0" locked="0" layoutInCell="1" allowOverlap="1">
                <wp:simplePos x="0" y="0"/>
                <wp:positionH relativeFrom="column">
                  <wp:posOffset>2223770</wp:posOffset>
                </wp:positionH>
                <wp:positionV relativeFrom="paragraph">
                  <wp:posOffset>77470</wp:posOffset>
                </wp:positionV>
                <wp:extent cx="1192530" cy="0"/>
                <wp:effectExtent l="0" t="5080" r="0" b="5080"/>
                <wp:wrapNone/>
                <wp:docPr id="3" name=""/>
                <a:graphic xmlns:a="http://schemas.openxmlformats.org/drawingml/2006/main">
                  <a:graphicData uri="http://schemas.microsoft.com/office/word/2010/wordprocessingShape">
                    <wps:wsp>
                      <wps:cNvSpPr/>
                      <wps:spPr>
                        <a:xfrm>
                          <a:off x="0" y="0"/>
                          <a:ext cx="1192680" cy="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175.1pt,6.1pt" to="268.95pt,6.1pt" stroked="t" o:allowincell="f" style="position:absolute">
                <v:stroke color="black" weight="9360" joinstyle="miter" endcap="flat"/>
                <v:fill o:detectmouseclick="t" on="false"/>
                <w10:wrap type="none"/>
              </v:line>
            </w:pict>
          </mc:Fallback>
        </mc:AlternateContent>
      </w:r>
    </w:p>
    <w:p>
      <w:pPr>
        <w:pStyle w:val="NormalWeb"/>
        <w:spacing w:before="120" w:after="120"/>
        <w:ind w:firstLine="720" w:right="0"/>
        <w:jc w:val="both"/>
        <w:rPr>
          <w:i/>
          <w:iCs/>
          <w:spacing w:val="-8"/>
          <w:sz w:val="28"/>
          <w:szCs w:val="28"/>
          <w:lang w:val="vi-VN"/>
        </w:rPr>
      </w:pPr>
      <w:r>
        <w:rPr>
          <w:i/>
          <w:iCs/>
          <w:spacing w:val="-8"/>
          <w:sz w:val="28"/>
          <w:szCs w:val="28"/>
          <w:lang w:val="vi-VN"/>
        </w:rPr>
        <w:t xml:space="preserve">Căn cứ </w:t>
      </w:r>
      <w:hyperlink r:id="rId2">
        <w:r>
          <w:rPr>
            <w:rStyle w:val="Hyperlink"/>
            <w:i/>
            <w:iCs/>
            <w:spacing w:val="-8"/>
            <w:sz w:val="28"/>
            <w:szCs w:val="28"/>
            <w:lang w:val="vi-VN"/>
          </w:rPr>
          <w:t xml:space="preserve">Luật </w:t>
        </w:r>
      </w:hyperlink>
      <w:r>
        <w:rPr>
          <w:i/>
          <w:iCs/>
          <w:spacing w:val="-8"/>
          <w:sz w:val="28"/>
          <w:szCs w:val="28"/>
          <w:lang w:val="vi-VN"/>
        </w:rPr>
        <w:t xml:space="preserve">Giáo dục đại học </w:t>
      </w:r>
      <w:r>
        <w:rPr>
          <w:bCs/>
          <w:i/>
          <w:spacing w:val="-8"/>
          <w:sz w:val="28"/>
          <w:szCs w:val="28"/>
          <w:lang w:val="vi-VN"/>
        </w:rPr>
        <w:t>số 125/2025/QH15 ngày 10 tháng 12 năm 2025</w:t>
      </w:r>
      <w:r>
        <w:rPr>
          <w:i/>
          <w:iCs/>
          <w:spacing w:val="-8"/>
          <w:sz w:val="28"/>
          <w:szCs w:val="28"/>
          <w:lang w:val="vi-VN"/>
        </w:rPr>
        <w:t>;</w:t>
      </w:r>
    </w:p>
    <w:p>
      <w:pPr>
        <w:pStyle w:val="NormalWeb"/>
        <w:spacing w:before="120" w:after="120"/>
        <w:ind w:firstLine="720" w:right="0"/>
        <w:jc w:val="both"/>
        <w:rPr/>
      </w:pPr>
      <w:r>
        <w:rPr>
          <w:i/>
          <w:iCs/>
          <w:sz w:val="28"/>
          <w:szCs w:val="28"/>
          <w:lang w:val="vi-VN"/>
        </w:rPr>
        <w:t>Căn cứ Nghị định số 37/2025/NĐ-CP ngày 26 tháng 02 năm 2025 của Chính phủ quy định chức năng, nhiệm vụ, quyền hạn và cơ cấu tổ chức của Bộ Giáo dục và Đào tạo;</w:t>
      </w:r>
    </w:p>
    <w:p>
      <w:pPr>
        <w:pStyle w:val="NormalWeb"/>
        <w:spacing w:before="120" w:after="120"/>
        <w:ind w:firstLine="720" w:right="0"/>
        <w:jc w:val="both"/>
        <w:rPr>
          <w:i/>
          <w:iCs/>
          <w:sz w:val="28"/>
          <w:szCs w:val="28"/>
          <w:lang w:val="vi-VN"/>
        </w:rPr>
      </w:pPr>
      <w:r>
        <w:rPr>
          <w:i/>
          <w:iCs/>
          <w:sz w:val="28"/>
          <w:szCs w:val="28"/>
          <w:lang w:val="vi-VN"/>
        </w:rPr>
        <w:t>Theo đề nghị của Cục trưởng Cục Nhà giáo và Cán bộ quản lý giáo dục;</w:t>
      </w:r>
    </w:p>
    <w:p>
      <w:pPr>
        <w:pStyle w:val="NormalWeb"/>
        <w:spacing w:before="120" w:after="120"/>
        <w:ind w:firstLine="720" w:right="0"/>
        <w:jc w:val="both"/>
        <w:rPr/>
      </w:pPr>
      <w:r>
        <w:rPr>
          <w:i/>
          <w:iCs/>
          <w:sz w:val="28"/>
          <w:szCs w:val="28"/>
          <w:lang w:val="vi-VN"/>
        </w:rPr>
        <w:t>Bộ trưởng Bộ Giáo dục và Đào tạo ban hành Thông tư quy định tiêu chuẩn,</w:t>
      </w:r>
      <w:r>
        <w:rPr>
          <w:i/>
          <w:iCs/>
          <w:sz w:val="28"/>
          <w:szCs w:val="28"/>
        </w:rPr>
        <w:t xml:space="preserve"> điều kiện,</w:t>
      </w:r>
      <w:r>
        <w:rPr>
          <w:i/>
          <w:iCs/>
          <w:sz w:val="28"/>
          <w:szCs w:val="28"/>
          <w:lang w:val="vi-VN"/>
        </w:rPr>
        <w:t xml:space="preserve"> chế độ làm việc</w:t>
      </w:r>
      <w:r>
        <w:rPr>
          <w:i/>
          <w:iCs/>
          <w:sz w:val="28"/>
          <w:szCs w:val="28"/>
        </w:rPr>
        <w:t>, bổ nhiệm và</w:t>
      </w:r>
      <w:r>
        <w:rPr>
          <w:i/>
          <w:iCs/>
          <w:sz w:val="28"/>
          <w:szCs w:val="28"/>
          <w:lang w:val="vi-VN"/>
        </w:rPr>
        <w:t xml:space="preserve"> xếp lương đối với nhân sự hỗ trợ giáo dục đại học.</w:t>
      </w:r>
    </w:p>
    <w:p>
      <w:pPr>
        <w:pStyle w:val="NormalWeb"/>
        <w:spacing w:before="0" w:after="0"/>
        <w:jc w:val="center"/>
        <w:rPr>
          <w:b/>
          <w:iCs/>
          <w:sz w:val="28"/>
          <w:szCs w:val="28"/>
        </w:rPr>
      </w:pPr>
      <w:r>
        <w:rPr>
          <w:b/>
          <w:iCs/>
          <w:sz w:val="28"/>
          <w:szCs w:val="28"/>
        </w:rPr>
        <w:t>Chương I</w:t>
      </w:r>
    </w:p>
    <w:p>
      <w:pPr>
        <w:pStyle w:val="Normal"/>
        <w:jc w:val="center"/>
        <w:rPr>
          <w:b/>
          <w:bCs/>
        </w:rPr>
      </w:pPr>
      <w:r>
        <w:rPr>
          <w:b/>
          <w:bCs/>
        </w:rPr>
        <w:t>QUY ĐỊNH CHUNG</w:t>
      </w:r>
    </w:p>
    <w:p>
      <w:pPr>
        <w:pStyle w:val="Normal"/>
        <w:spacing w:before="120" w:after="120"/>
        <w:ind w:firstLine="720" w:right="0"/>
        <w:jc w:val="both"/>
        <w:rPr>
          <w:b/>
          <w:lang w:val="nb-NO"/>
        </w:rPr>
      </w:pPr>
      <w:r>
        <w:rPr>
          <w:b/>
          <w:lang w:val="nb-NO"/>
        </w:rPr>
        <w:t xml:space="preserve">Điều 1. Phạm vi điều chỉnh </w:t>
      </w:r>
    </w:p>
    <w:p>
      <w:pPr>
        <w:pStyle w:val="Normal"/>
        <w:spacing w:before="120" w:after="120"/>
        <w:ind w:firstLine="720" w:right="0"/>
        <w:jc w:val="both"/>
        <w:rPr>
          <w:spacing w:val="-2"/>
          <w:lang w:val="nb-NO"/>
        </w:rPr>
      </w:pPr>
      <w:r>
        <w:rPr>
          <w:spacing w:val="-2"/>
          <w:lang w:val="nb-NO"/>
        </w:rPr>
        <w:t>Thông tư này quy định về tiêu chuẩn, điều kiện, chế độ làm việc, bổ nhiệm và xếp lương đối với nhân sự hỗ trợ giáo dục đại học.</w:t>
      </w:r>
    </w:p>
    <w:p>
      <w:pPr>
        <w:pStyle w:val="Normal"/>
        <w:spacing w:before="120" w:after="120"/>
        <w:ind w:firstLine="720" w:right="0"/>
        <w:jc w:val="both"/>
        <w:rPr/>
      </w:pPr>
      <w:r>
        <w:rPr>
          <w:b/>
          <w:lang w:val="nb-NO"/>
        </w:rPr>
        <w:t xml:space="preserve">Điều 2. Đối tượng áp dụng  </w:t>
      </w:r>
    </w:p>
    <w:p>
      <w:pPr>
        <w:pStyle w:val="Normal"/>
        <w:spacing w:before="120" w:after="120"/>
        <w:ind w:firstLine="720" w:right="0"/>
        <w:jc w:val="both"/>
        <w:rPr/>
      </w:pPr>
      <w:bookmarkStart w:id="3" w:name="_Hlk233460502"/>
      <w:r>
        <w:rPr>
          <w:spacing w:val="-2"/>
          <w:lang w:val="nb-NO"/>
        </w:rPr>
        <w:t xml:space="preserve">1. </w:t>
      </w:r>
      <w:bookmarkStart w:id="4" w:name="_Hlk233457804"/>
      <w:r>
        <w:rPr>
          <w:spacing w:val="-2"/>
          <w:lang w:val="nb-NO"/>
        </w:rPr>
        <w:t>Thông tư này áp dụng đối với nhân sự hỗ trợ giáo dục đại học, bao gồm: t</w:t>
      </w:r>
      <w:r>
        <w:rPr>
          <w:spacing w:val="-2"/>
        </w:rPr>
        <w:t>rợ giảng, nghiên cứu viên và nhân sự hỗ trợ giảng dạy trong các cơ sở giáo dục đại học</w:t>
      </w:r>
      <w:bookmarkEnd w:id="4"/>
      <w:r>
        <w:rPr>
          <w:spacing w:val="-2"/>
        </w:rPr>
        <w:t>.</w:t>
      </w:r>
    </w:p>
    <w:p>
      <w:pPr>
        <w:pStyle w:val="Normal"/>
        <w:spacing w:before="120" w:after="120"/>
        <w:ind w:firstLine="720" w:right="0"/>
        <w:jc w:val="both"/>
        <w:rPr>
          <w:spacing w:val="-2"/>
        </w:rPr>
      </w:pPr>
      <w:r>
        <w:rPr>
          <w:spacing w:val="-2"/>
        </w:rPr>
        <w:t>2. Thông tư này áp dụng đối với các cơ sở giáo dục đại học.</w:t>
      </w:r>
    </w:p>
    <w:p>
      <w:pPr>
        <w:pStyle w:val="Normal"/>
        <w:spacing w:before="120" w:after="120"/>
        <w:ind w:firstLine="720" w:right="0"/>
        <w:jc w:val="both"/>
        <w:rPr/>
      </w:pPr>
      <w:r>
        <w:rPr>
          <w:spacing w:val="-2"/>
          <w:lang w:val="nb-NO"/>
        </w:rPr>
        <w:t>3. Thông tư này không áp dụng đối với nhân sự hỗ trợ giáo dục đại học trong cơ sở giáo dục đại học thuộc thẩm quyền quản lý nhà nước của Bộ Quốc phòng và Bộ Công an.</w:t>
      </w:r>
    </w:p>
    <w:p>
      <w:pPr>
        <w:pStyle w:val="Normal"/>
        <w:spacing w:before="120" w:after="120"/>
        <w:ind w:firstLine="720" w:right="0"/>
        <w:jc w:val="both"/>
        <w:rPr>
          <w:b/>
          <w:bCs/>
          <w:spacing w:val="-8"/>
          <w:lang w:val="nb-NO"/>
        </w:rPr>
      </w:pPr>
      <w:bookmarkStart w:id="5" w:name="_Hlk503890066"/>
      <w:bookmarkEnd w:id="3"/>
      <w:r>
        <w:rPr>
          <w:b/>
          <w:spacing w:val="-8"/>
          <w:lang w:val="nb-NO"/>
        </w:rPr>
        <w:t xml:space="preserve">Điều 3. </w:t>
      </w:r>
      <w:r>
        <w:rPr>
          <w:b/>
          <w:bCs/>
          <w:spacing w:val="-8"/>
          <w:lang w:val="nb-NO"/>
        </w:rPr>
        <w:t xml:space="preserve">Tiêu chuẩn về đạo đức của </w:t>
      </w:r>
      <w:r>
        <w:rPr>
          <w:b/>
          <w:spacing w:val="-2"/>
          <w:lang w:val="nb-NO"/>
        </w:rPr>
        <w:t>nhân sự hỗ trợ giáo dục đại học</w:t>
      </w:r>
    </w:p>
    <w:p>
      <w:pPr>
        <w:pStyle w:val="Normal"/>
        <w:spacing w:before="120" w:after="120"/>
        <w:ind w:firstLine="720" w:right="0"/>
        <w:jc w:val="both"/>
        <w:rPr/>
      </w:pPr>
      <w:r>
        <w:rPr>
          <w:bCs/>
          <w:lang w:val="nb-NO"/>
        </w:rPr>
        <w:t xml:space="preserve">1. </w:t>
      </w:r>
      <w:r>
        <w:rPr>
          <w:lang w:val="nb-NO"/>
        </w:rPr>
        <w:t>Giữ gìn phẩm chất, uy tín, danh dự của nhân sự hỗ trợ giáo dục đại học; có tinh thần đoàn kết, tôn trọng và hợp tác với đồng nghiệp; có lòng nhân ái, bao dung, độ lượng, tôn trọng và đối xử công bằng, đúng mực với sinh viên, học viên, nghiên cứu viên (sau đây gọi chung là người học), bảo vệ quyền và lợi ích hợp pháp, chính đáng của người học, đồng nghiệp và cộng đồng; thực hành tiết kiệm, chống tham nhũng, lãng phí.</w:t>
      </w:r>
    </w:p>
    <w:p>
      <w:pPr>
        <w:pStyle w:val="Normal"/>
        <w:spacing w:before="120" w:after="120"/>
        <w:ind w:firstLine="720" w:right="0"/>
        <w:jc w:val="both"/>
        <w:rPr/>
      </w:pPr>
      <w:r>
        <w:rPr>
          <w:bCs/>
          <w:lang w:val="nb-NO"/>
        </w:rPr>
        <w:t xml:space="preserve">2. </w:t>
      </w:r>
      <w:r>
        <w:rPr>
          <w:lang w:val="nb-NO"/>
        </w:rPr>
        <w:t>Tâm huyết với nghề, tận tụy với công việc; công bằng trong hướng dẫn, đánh giá đúng thực chất năng lực của người học.</w:t>
      </w:r>
    </w:p>
    <w:p>
      <w:pPr>
        <w:pStyle w:val="Normal"/>
        <w:spacing w:before="120" w:after="120"/>
        <w:ind w:firstLine="720" w:right="0"/>
        <w:jc w:val="both"/>
        <w:rPr/>
      </w:pPr>
      <w:r>
        <w:rPr>
          <w:lang w:val="nb-NO"/>
        </w:rPr>
        <w:t>3. Tuân thủ các quy định về đạo đức học thuật và bảo đảm liêm chính khoa học, thực hiện trung thực, minh bạch trong hỗ trợ giảng dạy, hướng dẫn, nghiên cứu khoa học, công bố kết quả nghiên cứu và các hoạt động chuyên môn khác.</w:t>
      </w:r>
    </w:p>
    <w:p>
      <w:pPr>
        <w:pStyle w:val="Normal"/>
        <w:spacing w:before="120" w:after="120"/>
        <w:ind w:firstLine="720" w:right="0"/>
        <w:jc w:val="both"/>
        <w:rPr/>
      </w:pPr>
      <w:r>
        <w:rPr>
          <w:lang w:val="nb-NO"/>
        </w:rPr>
        <w:t>4. Tuân thủ nội quy, quy chế của cơ sở giáo dục đại học và các tiêu chuẩn đạo đức nghề nghiệp khác theo quy định của pháp luật.</w:t>
      </w:r>
    </w:p>
    <w:p>
      <w:pPr>
        <w:pStyle w:val="NormalWeb"/>
        <w:spacing w:before="0" w:after="0"/>
        <w:jc w:val="center"/>
        <w:rPr>
          <w:b/>
          <w:iCs/>
          <w:sz w:val="28"/>
          <w:szCs w:val="28"/>
          <w:lang w:val="nb-NO"/>
        </w:rPr>
      </w:pPr>
      <w:r>
        <w:rPr>
          <w:b/>
          <w:iCs/>
          <w:sz w:val="28"/>
          <w:szCs w:val="28"/>
          <w:lang w:val="nb-NO"/>
        </w:rPr>
      </w:r>
    </w:p>
    <w:p>
      <w:pPr>
        <w:pStyle w:val="NormalWeb"/>
        <w:spacing w:before="0" w:after="0"/>
        <w:jc w:val="center"/>
        <w:rPr>
          <w:b/>
          <w:iCs/>
          <w:sz w:val="28"/>
          <w:szCs w:val="28"/>
          <w:lang w:val="nb-NO"/>
        </w:rPr>
      </w:pPr>
      <w:r>
        <w:rPr>
          <w:b/>
          <w:iCs/>
          <w:sz w:val="28"/>
          <w:szCs w:val="28"/>
          <w:lang w:val="nb-NO"/>
        </w:rPr>
        <w:t>Chương II</w:t>
      </w:r>
    </w:p>
    <w:p>
      <w:pPr>
        <w:pStyle w:val="Normal"/>
        <w:jc w:val="center"/>
        <w:rPr>
          <w:b/>
          <w:bCs/>
          <w:lang w:val="nb-NO"/>
        </w:rPr>
      </w:pPr>
      <w:r>
        <w:rPr>
          <w:b/>
          <w:bCs/>
          <w:lang w:val="nb-NO"/>
        </w:rPr>
        <w:t xml:space="preserve">TIÊU CHUẨN, ĐIỀU KIỆN, CHẾ ĐỘ LÀM VIỆC, BỔ NHIỆM VÀ </w:t>
      </w:r>
    </w:p>
    <w:p>
      <w:pPr>
        <w:pStyle w:val="Normal"/>
        <w:jc w:val="center"/>
        <w:rPr>
          <w:b/>
          <w:bCs/>
          <w:lang w:val="nb-NO"/>
        </w:rPr>
      </w:pPr>
      <w:r>
        <w:rPr>
          <w:b/>
          <w:bCs/>
          <w:lang w:val="nb-NO"/>
        </w:rPr>
        <w:t>XẾP LƯƠNG ĐỐI VỚI NHÂN SỰ HỖ TRỢ GIÁO DỤC ĐẠI HỌC</w:t>
      </w:r>
    </w:p>
    <w:p>
      <w:pPr>
        <w:pStyle w:val="Normal"/>
        <w:spacing w:before="120" w:after="120"/>
        <w:ind w:firstLine="720" w:right="0"/>
        <w:jc w:val="both"/>
        <w:rPr>
          <w:b/>
          <w:bCs/>
          <w:spacing w:val="-8"/>
          <w:lang w:val="nb-NO"/>
        </w:rPr>
      </w:pPr>
      <w:r>
        <w:rPr>
          <w:b/>
          <w:spacing w:val="-8"/>
          <w:lang w:val="nb-NO"/>
        </w:rPr>
        <w:t xml:space="preserve">Điều 4. </w:t>
      </w:r>
      <w:r>
        <w:rPr>
          <w:b/>
          <w:bCs/>
          <w:spacing w:val="-8"/>
          <w:lang w:val="nb-NO"/>
        </w:rPr>
        <w:t>Tiêu chuẩn về trình độ đào tạo của nhân sự hỗ trợ giáo dục đại học</w:t>
      </w:r>
    </w:p>
    <w:p>
      <w:pPr>
        <w:pStyle w:val="Normal"/>
        <w:spacing w:before="120" w:after="120"/>
        <w:ind w:firstLine="720" w:right="0"/>
        <w:jc w:val="both"/>
        <w:rPr>
          <w:lang w:val="nb-NO"/>
        </w:rPr>
      </w:pPr>
      <w:r>
        <w:rPr>
          <w:spacing w:val="-2"/>
          <w:lang w:val="nb-NO"/>
        </w:rPr>
        <w:t>1. Đối với vị trí việc làm trợ giảng: c</w:t>
      </w:r>
      <w:r>
        <w:rPr>
          <w:lang w:val="nb-NO"/>
        </w:rPr>
        <w:t xml:space="preserve">ó trình độ đại học trở lên phù hợp với vị trí việc làm, ngành hoặc chuyên ngành hỗ trợ hoạt động giảng dạy. </w:t>
      </w:r>
    </w:p>
    <w:p>
      <w:pPr>
        <w:pStyle w:val="Normal"/>
        <w:spacing w:before="120" w:after="120"/>
        <w:ind w:firstLine="720" w:right="0"/>
        <w:jc w:val="both"/>
        <w:rPr>
          <w:spacing w:val="-2"/>
          <w:lang w:val="nb-NO"/>
        </w:rPr>
      </w:pPr>
      <w:r>
        <w:rPr>
          <w:spacing w:val="-2"/>
        </w:rPr>
        <w:t>2. Đối với vị trí việc làm nghiên cứu viên: thực hiện theo tiêu chuẩn chức danh nghiên cứu viên do Bộ Khoa học và Công nghệ quy định.</w:t>
      </w:r>
    </w:p>
    <w:p>
      <w:pPr>
        <w:pStyle w:val="Normal"/>
        <w:spacing w:before="120" w:after="120"/>
        <w:ind w:firstLine="720" w:right="0"/>
        <w:jc w:val="both"/>
        <w:rPr/>
      </w:pPr>
      <w:r>
        <w:rPr>
          <w:spacing w:val="-2"/>
          <w:lang w:val="nb-NO"/>
        </w:rPr>
        <w:t xml:space="preserve">3. Đối với vị trí việc làm nhân sự hỗ trợ giảng dạy: </w:t>
      </w:r>
    </w:p>
    <w:p>
      <w:pPr>
        <w:pStyle w:val="Normal"/>
        <w:spacing w:before="120" w:after="120"/>
        <w:ind w:firstLine="720" w:right="0"/>
        <w:jc w:val="both"/>
        <w:rPr/>
      </w:pPr>
      <w:r>
        <w:rPr/>
        <w:t>a) Trường hợp pháp luật chuyên ngành có quy định tiêu chuẩn chức danh thì thực hiện theo quy định của Bộ quản lý viên chức chuyên ngành;</w:t>
      </w:r>
    </w:p>
    <w:p>
      <w:pPr>
        <w:pStyle w:val="Normal"/>
        <w:spacing w:before="120" w:after="120"/>
        <w:ind w:firstLine="720" w:right="0"/>
        <w:jc w:val="both"/>
        <w:rPr/>
      </w:pPr>
      <w:r>
        <w:rPr/>
        <w:t xml:space="preserve">b) Trường hợp chưa có quy định thì có </w:t>
      </w:r>
      <w:r>
        <w:rPr>
          <w:lang w:val="nb-NO"/>
        </w:rPr>
        <w:t xml:space="preserve">trình độ </w:t>
      </w:r>
      <w:r>
        <w:rPr/>
        <w:t>đại học trở lên phù hợp với lĩnh vực chuyên môn được giao hỗ trợ giảng dạy.</w:t>
      </w:r>
    </w:p>
    <w:p>
      <w:pPr>
        <w:pStyle w:val="Normal"/>
        <w:spacing w:before="120" w:after="120"/>
        <w:ind w:firstLine="720" w:right="0"/>
        <w:jc w:val="both"/>
        <w:rPr/>
      </w:pPr>
      <w:r>
        <w:rPr>
          <w:b/>
          <w:spacing w:val="-8"/>
          <w:lang w:val="nb-NO"/>
        </w:rPr>
        <w:t xml:space="preserve">Điều 5. </w:t>
      </w:r>
      <w:r>
        <w:rPr>
          <w:b/>
          <w:bCs/>
          <w:spacing w:val="-8"/>
          <w:lang w:val="nb-NO"/>
        </w:rPr>
        <w:t>Tiêu chuẩn về năng lực chuyên môn, nghiệp vụ của nhân sự hỗ trợ giáo dục đại học</w:t>
      </w:r>
    </w:p>
    <w:p>
      <w:pPr>
        <w:pStyle w:val="Normal"/>
        <w:spacing w:before="120" w:after="120"/>
        <w:ind w:firstLine="720" w:right="0"/>
        <w:jc w:val="both"/>
        <w:rPr/>
      </w:pPr>
      <w:r>
        <w:rPr>
          <w:spacing w:val="-2"/>
          <w:lang w:val="nb-NO"/>
        </w:rPr>
        <w:t>1. Đối với vị trí việc làm trợ giảng:</w:t>
      </w:r>
    </w:p>
    <w:p>
      <w:pPr>
        <w:pStyle w:val="Normal"/>
        <w:spacing w:before="120" w:after="120"/>
        <w:ind w:firstLine="720" w:right="0"/>
        <w:jc w:val="both"/>
        <w:rPr>
          <w:lang w:val="nb-NO"/>
        </w:rPr>
      </w:pPr>
      <w:r>
        <w:rPr>
          <w:lang w:val="nb-NO"/>
        </w:rPr>
        <w:t>a) Nắm vững kiến thức cơ bản của học phần được phân công hỗ trợ giảng dạy và có kiến thức tổng quát thuộc lĩnh vực chuyên ngành đào tạo; có năng lực sư phạm trong công tác hỗ trợ giảng dạy;</w:t>
      </w:r>
    </w:p>
    <w:p>
      <w:pPr>
        <w:pStyle w:val="Normal"/>
        <w:spacing w:before="120" w:after="120"/>
        <w:ind w:firstLine="720" w:right="0"/>
        <w:jc w:val="both"/>
        <w:rPr/>
      </w:pPr>
      <w:r>
        <w:rPr>
          <w:lang w:val="nb-NO"/>
        </w:rPr>
        <w:t>b) Hiểu và thực hiện đúng mục tiêu, kế hoạch, nội dung học phần hoặc chương trình đào tạo được phân công hỗ trợ giảng dạy. Xác định được thực tiễn và xu thế phát triển đào tạo, nghiên cứu của chuyên ngành ở trong và ngoài nước;</w:t>
      </w:r>
    </w:p>
    <w:p>
      <w:pPr>
        <w:pStyle w:val="Normal"/>
        <w:spacing w:before="120" w:after="120"/>
        <w:ind w:firstLine="720" w:right="0"/>
        <w:jc w:val="both"/>
        <w:rPr/>
      </w:pPr>
      <w:r>
        <w:rPr>
          <w:lang w:val="nb-NO"/>
        </w:rPr>
        <w:t>c) Sử dụng có hiệu quả và an toàn các phương tiện dạy học, trang thiết bị dạy học;</w:t>
      </w:r>
    </w:p>
    <w:p>
      <w:pPr>
        <w:pStyle w:val="Normal"/>
        <w:spacing w:before="120" w:after="120"/>
        <w:ind w:firstLine="720" w:right="0"/>
        <w:jc w:val="both"/>
        <w:rPr/>
      </w:pPr>
      <w:r>
        <w:rPr>
          <w:lang w:val="nb-NO"/>
        </w:rPr>
        <w:t>d) Có năng lực số, khả năng ứng dụng công nghệ thông tin, trí tuệ nhân tạo  và sử dụng được ngoại ngữ trong thực hiện các nhiệm vụ của vị trí việc làm trợ giảng.</w:t>
      </w:r>
    </w:p>
    <w:p>
      <w:pPr>
        <w:pStyle w:val="Normal"/>
        <w:spacing w:before="120" w:after="120"/>
        <w:ind w:firstLine="720" w:right="0"/>
        <w:jc w:val="both"/>
        <w:rPr/>
      </w:pPr>
      <w:r>
        <w:rPr>
          <w:spacing w:val="-2"/>
          <w:lang w:val="nb-NO"/>
        </w:rPr>
        <w:t>2. Đối với vị trí việc làm nghiên cứu viên</w:t>
      </w:r>
    </w:p>
    <w:p>
      <w:pPr>
        <w:pStyle w:val="Normal"/>
        <w:spacing w:before="120" w:after="120"/>
        <w:ind w:firstLine="720" w:right="0"/>
        <w:jc w:val="both"/>
        <w:rPr/>
      </w:pPr>
      <w:r>
        <w:rPr>
          <w:lang w:val="nb-NO"/>
        </w:rPr>
        <w:t xml:space="preserve">Ngoài các tiêu chuẩn về năng lực chuyên môn, nghiệp vụ của các chức danh nghiên cứu viên do Bộ Khoa học và Công nghệ quy định, nghiên cứu viên trong các cơ sở giáo dục đại học có thêm các tiêu chuẩn sau:  </w:t>
      </w:r>
    </w:p>
    <w:p>
      <w:pPr>
        <w:pStyle w:val="Normal"/>
        <w:spacing w:before="120" w:after="120"/>
        <w:ind w:firstLine="720" w:right="0"/>
        <w:jc w:val="both"/>
        <w:rPr>
          <w:lang w:val="nb-NO"/>
        </w:rPr>
      </w:pPr>
      <w:r>
        <w:rPr>
          <w:lang w:val="nb-NO"/>
        </w:rPr>
        <w:t xml:space="preserve">a) Có năng lực làm việc độc lập và phối hợp trong nhóm nghiên cứu; chuyển giao kết quả nghiên cứu vào công tác giảng dạy, thực tiễn; </w:t>
      </w:r>
      <w:r>
        <w:rPr/>
        <w:t>Có khả năng tham gia hoạt động khoa học, công nghệ và đổi mới sáng tạo; phối hợp triển khai các nhiệm vụ khoa học và công nghệ của cơ sở giáo dục đại học;</w:t>
      </w:r>
      <w:r>
        <w:rPr>
          <w:lang w:val="nb-NO"/>
        </w:rPr>
        <w:t xml:space="preserve"> </w:t>
      </w:r>
    </w:p>
    <w:p>
      <w:pPr>
        <w:pStyle w:val="Normal"/>
        <w:spacing w:before="120" w:after="120"/>
        <w:ind w:firstLine="720" w:right="0"/>
        <w:jc w:val="both"/>
        <w:rPr>
          <w:lang w:val="nb-NO"/>
        </w:rPr>
      </w:pPr>
      <w:r>
        <w:rPr>
          <w:lang w:val="nb-NO"/>
        </w:rPr>
        <w:t>b) Có khả năng hỗ trợ giảng viên trong tổ chức hoạt động giảng dạy và hướng dẫn người học tham gia nghiên cứu khoa học; có năng lực sư phạm trong công tác hỗ trợ giảng dạy;</w:t>
      </w:r>
    </w:p>
    <w:p>
      <w:pPr>
        <w:pStyle w:val="Normal"/>
        <w:spacing w:before="120" w:after="120"/>
        <w:ind w:firstLine="720" w:right="0"/>
        <w:jc w:val="both"/>
        <w:rPr/>
      </w:pPr>
      <w:r>
        <w:rPr>
          <w:lang w:val="nb-NO"/>
        </w:rPr>
        <w:t>c) Có năng lực số, khả năng ứng dụng công nghệ thông tin, trí tuệ nhân tạo  và sử dụng được ngoại ngữ trong thực hiện các nhiệm vụ của vị trí việc làm nghiên cứu viên.</w:t>
      </w:r>
    </w:p>
    <w:p>
      <w:pPr>
        <w:pStyle w:val="Normal"/>
        <w:spacing w:before="120" w:after="120"/>
        <w:ind w:firstLine="720" w:right="0"/>
        <w:jc w:val="both"/>
        <w:rPr/>
      </w:pPr>
      <w:r>
        <w:rPr>
          <w:spacing w:val="-2"/>
          <w:lang w:val="nb-NO"/>
        </w:rPr>
        <w:t>3. Đối với vị trí việc làm nhân sự hỗ trợ giảng dạy</w:t>
      </w:r>
    </w:p>
    <w:p>
      <w:pPr>
        <w:pStyle w:val="Normal"/>
        <w:spacing w:before="120" w:after="120"/>
        <w:ind w:firstLine="720" w:right="0"/>
        <w:jc w:val="both"/>
        <w:rPr/>
      </w:pPr>
      <w:r>
        <w:rPr>
          <w:lang w:val="nb-NO"/>
        </w:rPr>
        <w:t xml:space="preserve">Ngoài các tiêu chuẩn về năng lực chuyên môn, nghiệp vụ của Bộ quản lý ngành, lĩnh vực quy định, nhân sự hỗ trợ giảng dạy trong các cơ sở giáo dục đại học có thêm các tiêu chuẩn sau:  </w:t>
      </w:r>
    </w:p>
    <w:p>
      <w:pPr>
        <w:pStyle w:val="Normal"/>
        <w:spacing w:before="120" w:after="120"/>
        <w:ind w:firstLine="720" w:right="0"/>
        <w:jc w:val="both"/>
        <w:rPr>
          <w:lang w:val="nb-NO"/>
        </w:rPr>
      </w:pPr>
      <w:r>
        <w:rPr>
          <w:lang w:val="nb-NO"/>
        </w:rPr>
        <w:t>a) Có phương pháp hướng dẫn và năng lực chuyên môn đáp ứng yêu cầu hướng dẫn thực hành, thí nghiệm, thực tập; đánh giá kết quả thực hành, thí nghiệm và thực tập của người học theo chương trình đào tạo; có năng lực sư phạm trong công tác hỗ trợ giảng dạy;</w:t>
      </w:r>
    </w:p>
    <w:p>
      <w:pPr>
        <w:pStyle w:val="Normal"/>
        <w:spacing w:before="120" w:after="120"/>
        <w:ind w:firstLine="720" w:right="0"/>
        <w:jc w:val="both"/>
        <w:rPr/>
      </w:pPr>
      <w:r>
        <w:rPr>
          <w:lang w:val="nb-NO"/>
        </w:rPr>
        <w:t>b) Nắm vững kiến thức cơ bản của học phần, quy trình công nghệ, kỹ thuật của ngành, nghề được phân công hướng dẫn thực hành, thí nghiệm, thực tập và có kiến thức tổng quát thuộc lĩnh vực chuyên ngành đào tạo;</w:t>
      </w:r>
    </w:p>
    <w:p>
      <w:pPr>
        <w:pStyle w:val="Normal"/>
        <w:spacing w:before="120" w:after="120"/>
        <w:ind w:firstLine="720" w:right="0"/>
        <w:jc w:val="both"/>
        <w:rPr/>
      </w:pPr>
      <w:r>
        <w:rPr>
          <w:lang w:val="nb-NO"/>
        </w:rPr>
        <w:t>c) Có tay nghề vững vàng, khả năng thao tác mẫu, hướng dẫn quy trình thực hành, thí nghiệm, vận hành thiết bị và xử lý các tình huống kỹ thuật phát sinh trong quá trình thực hành;</w:t>
      </w:r>
    </w:p>
    <w:p>
      <w:pPr>
        <w:pStyle w:val="Normal"/>
        <w:spacing w:before="120" w:after="120"/>
        <w:ind w:firstLine="720" w:right="0"/>
        <w:jc w:val="both"/>
        <w:rPr>
          <w:lang w:val="nb-NO"/>
        </w:rPr>
      </w:pPr>
      <w:r>
        <w:rPr>
          <w:lang w:val="nb-NO"/>
        </w:rPr>
        <w:t>d) Nắm vững và thực hiện đúng các quy định về an toàn, vệ sinh lao động, phòng cháy nổ; hướng dẫn người học tuân thủ quy định an toàn trong khu vực thực hành, thí nghiệm;</w:t>
      </w:r>
    </w:p>
    <w:p>
      <w:pPr>
        <w:pStyle w:val="Normal"/>
        <w:spacing w:before="120" w:after="120"/>
        <w:ind w:firstLine="720" w:right="0"/>
        <w:jc w:val="both"/>
        <w:rPr>
          <w:lang w:val="nb-NO"/>
        </w:rPr>
      </w:pPr>
      <w:r>
        <w:rPr>
          <w:lang w:val="nb-NO"/>
        </w:rPr>
        <w:t>đ) Có năng lực số, khả năng ứng dụng công nghệ thông tin, trí tuệ nhân tạo  và sử dụng được ngoại ngữ trong thực hiện các nhiệm vụ của vị trí việc làm nhân sự hỗ trợ giảng dạy.</w:t>
      </w:r>
    </w:p>
    <w:p>
      <w:pPr>
        <w:pStyle w:val="Normal"/>
        <w:spacing w:before="120" w:after="120"/>
        <w:ind w:firstLine="720" w:right="0"/>
        <w:jc w:val="both"/>
        <w:rPr>
          <w:b/>
          <w:lang w:val="nb-NO"/>
        </w:rPr>
      </w:pPr>
      <w:r>
        <w:rPr>
          <w:b/>
          <w:lang w:val="nb-NO"/>
        </w:rPr>
        <w:t>Điều 6. Điều kiện đối với nhân sự hỗ trợ giáo dục đại học</w:t>
      </w:r>
    </w:p>
    <w:p>
      <w:pPr>
        <w:pStyle w:val="Normal"/>
        <w:spacing w:before="120" w:after="120"/>
        <w:ind w:firstLine="720" w:right="0"/>
        <w:jc w:val="both"/>
        <w:rPr/>
      </w:pPr>
      <w:r>
        <w:rPr>
          <w:lang w:val="nb-NO"/>
        </w:rPr>
        <w:t>1. Đáp ứng tiêu chuẩn sức khỏe để thực hiện nhiệm vụ được giao.</w:t>
      </w:r>
    </w:p>
    <w:p>
      <w:pPr>
        <w:pStyle w:val="Normal"/>
        <w:spacing w:before="120" w:after="120"/>
        <w:ind w:firstLine="720" w:right="0"/>
        <w:jc w:val="both"/>
        <w:rPr>
          <w:lang w:val="nb-NO"/>
        </w:rPr>
      </w:pPr>
      <w:r>
        <w:rPr>
          <w:lang w:val="nb-NO"/>
        </w:rPr>
        <w:t>2. Có phẩm chất chính trị, đạo đức nghề nghiệp tốt; không trong thời hạn xử lý kỷ luật; không trong thời gian thực hiện các quy định liên quan đến kỷ luật theo quy định của Đảng và của pháp luật.</w:t>
      </w:r>
    </w:p>
    <w:p>
      <w:pPr>
        <w:pStyle w:val="Normal"/>
        <w:spacing w:before="120" w:after="120"/>
        <w:ind w:firstLine="720" w:right="0"/>
        <w:jc w:val="both"/>
        <w:rPr/>
      </w:pPr>
      <w:r>
        <w:rPr>
          <w:lang w:val="nb-NO"/>
        </w:rPr>
        <w:t xml:space="preserve">3. Đáp ứng tiêu chuẩn về trình độ đào tạo và năng lực chuyên môn, nghiệp vụ của vị trí việc làm tương ứng theo quy định tại Điều 4 và Điều 5 Thông tư này. </w:t>
      </w:r>
    </w:p>
    <w:p>
      <w:pPr>
        <w:pStyle w:val="Normal"/>
        <w:spacing w:before="120" w:after="120"/>
        <w:ind w:firstLine="720" w:right="0"/>
        <w:jc w:val="both"/>
        <w:rPr/>
      </w:pPr>
      <w:r>
        <w:rPr>
          <w:lang w:val="nb-NO"/>
        </w:rPr>
        <w:t>4. Đối với vị trí việc làm có yêu cầu sử dụng thiết bị, công nghệ, phòng thí nghiệm hoặc môi trường thực hành đặc thù thì phải đáp ứng các điều kiện theo quy định của pháp luật chuyên ngành.</w:t>
      </w:r>
    </w:p>
    <w:p>
      <w:pPr>
        <w:pStyle w:val="Normal"/>
        <w:spacing w:before="120" w:after="120"/>
        <w:ind w:firstLine="720" w:right="0"/>
        <w:jc w:val="both"/>
        <w:rPr>
          <w:lang w:val="nb-NO"/>
        </w:rPr>
      </w:pPr>
      <w:r>
        <w:rPr>
          <w:lang w:val="nb-NO"/>
        </w:rPr>
        <w:t>5. Đáp ứng điều kiện khác theo yêu cầu của cơ sở giáo dục (nếu có) phù hợp với yêu cầu chuyên môn của vị trí việc làm và không trái với quy định của pháp luật.</w:t>
      </w:r>
    </w:p>
    <w:p>
      <w:pPr>
        <w:pStyle w:val="Normal"/>
        <w:spacing w:before="120" w:after="120"/>
        <w:ind w:firstLine="720" w:right="0"/>
        <w:jc w:val="both"/>
        <w:rPr/>
      </w:pPr>
      <w:r>
        <w:rPr>
          <w:b/>
          <w:lang w:val="nb-NO"/>
        </w:rPr>
        <w:t xml:space="preserve">Điều 7. </w:t>
      </w:r>
      <w:r>
        <w:rPr>
          <w:b/>
          <w:bCs/>
          <w:lang w:val="nb-NO"/>
        </w:rPr>
        <w:t xml:space="preserve">Nhiệm vụ của </w:t>
      </w:r>
      <w:r>
        <w:rPr>
          <w:b/>
          <w:bCs/>
          <w:spacing w:val="-8"/>
          <w:lang w:val="nb-NO"/>
        </w:rPr>
        <w:t>nhân sự hỗ trợ giáo dục đại học</w:t>
      </w:r>
    </w:p>
    <w:p>
      <w:pPr>
        <w:pStyle w:val="Normal"/>
        <w:spacing w:before="120" w:after="120"/>
        <w:ind w:firstLine="720" w:right="0"/>
        <w:jc w:val="both"/>
        <w:rPr/>
      </w:pPr>
      <w:r>
        <w:rPr>
          <w:spacing w:val="-2"/>
          <w:lang w:val="nb-NO"/>
        </w:rPr>
        <w:t>1. Trợ giảng có</w:t>
      </w:r>
      <w:r>
        <w:rPr>
          <w:lang w:val="nb-NO"/>
        </w:rPr>
        <w:t xml:space="preserve"> nhiệm vụ hỗ trợ giảng viên trong hoạt động giảng dạy, cụ thể như sau</w:t>
      </w:r>
      <w:r>
        <w:rPr>
          <w:spacing w:val="-2"/>
          <w:lang w:val="nb-NO"/>
        </w:rPr>
        <w:t>:</w:t>
      </w:r>
    </w:p>
    <w:p>
      <w:pPr>
        <w:pStyle w:val="Normal"/>
        <w:spacing w:before="120" w:after="120"/>
        <w:ind w:firstLine="720" w:right="0"/>
        <w:jc w:val="both"/>
        <w:rPr>
          <w:spacing w:val="-2"/>
        </w:rPr>
      </w:pPr>
      <w:r>
        <w:rPr/>
        <w:t>a) Hỗ trợ giảng viên chuẩn bị nội dung, học liệu và các điều kiện phục vụ giảng dạy; hướng dẫn người học học tập, thực hành, thí nghiệm, thực tập và các hoạt động học tập khác theo phân công của giảng viên; hỗ trợ tổ chức thảo luận, phụ đạo; tham gia các hoạt động kiểm tra, đánh giá người học theo phân công của giảng viên hoặc đơn vị quản lý chuyên môn;</w:t>
      </w:r>
    </w:p>
    <w:p>
      <w:pPr>
        <w:pStyle w:val="Normal"/>
        <w:spacing w:before="120" w:after="120"/>
        <w:ind w:firstLine="720" w:right="0"/>
        <w:jc w:val="both"/>
        <w:rPr/>
      </w:pPr>
      <w:r>
        <w:rPr>
          <w:spacing w:val="-2"/>
          <w:lang w:val="nb-NO"/>
        </w:rPr>
        <w:t>b) Học tập, bồi dưỡng nâng cao trình độ lý luận chính trị, chuyên môn, nghiệp vụ và phương pháp giảng dạy; tham gia hoạt động thực tiễn để nâng cao chất lượng đào tạo và nghiên cứu khoa học;</w:t>
      </w:r>
    </w:p>
    <w:p>
      <w:pPr>
        <w:pStyle w:val="Normal"/>
        <w:spacing w:before="120" w:after="120"/>
        <w:ind w:firstLine="720" w:right="0"/>
        <w:jc w:val="both"/>
        <w:rPr/>
      </w:pPr>
      <w:r>
        <w:rPr>
          <w:spacing w:val="-2"/>
          <w:lang w:val="nb-NO"/>
        </w:rPr>
        <w:t xml:space="preserve">c) Tham gia công tác quản lý, công tác Đảng, đoàn thể và thực hiện các nhiệm vụ khác </w:t>
      </w:r>
      <w:r>
        <w:rPr>
          <w:lang w:val="nb-NO"/>
        </w:rPr>
        <w:t xml:space="preserve">do người đứng đầu cơ sở giáo dục đại học </w:t>
      </w:r>
      <w:r>
        <w:rPr>
          <w:spacing w:val="-2"/>
          <w:lang w:val="nb-NO"/>
        </w:rPr>
        <w:t xml:space="preserve">hoặc người đứng đầu đơn vị thuộc, trực thuộc cơ sở giáo dục đại học được </w:t>
      </w:r>
      <w:r>
        <w:rPr>
          <w:lang w:val="nb-NO"/>
        </w:rPr>
        <w:t>phân cấp theo thẩm quyền phân công phù hợp với tiêu chuẩn về năng lực chuyên môn, nghiệp vụ của trợ giảng và quy định khác của pháp luật có liên quan</w:t>
      </w:r>
      <w:r>
        <w:rPr>
          <w:spacing w:val="-2"/>
          <w:lang w:val="nb-NO"/>
        </w:rPr>
        <w:t>.</w:t>
      </w:r>
    </w:p>
    <w:p>
      <w:pPr>
        <w:pStyle w:val="Normal"/>
        <w:spacing w:before="120" w:after="120"/>
        <w:ind w:firstLine="720" w:right="0"/>
        <w:jc w:val="both"/>
        <w:rPr/>
      </w:pPr>
      <w:bookmarkStart w:id="6" w:name="_Hlk209638607"/>
      <w:r>
        <w:rPr>
          <w:lang w:val="nb-NO"/>
        </w:rPr>
        <w:t xml:space="preserve">2. Nghiên cứu viên thực hiện các nhiệm vụ được quy định của Bộ Khoa học và Công nghệ </w:t>
      </w:r>
      <w:r>
        <w:rPr>
          <w:spacing w:val="-2"/>
          <w:lang w:val="nb-NO"/>
        </w:rPr>
        <w:t xml:space="preserve">và </w:t>
      </w:r>
      <w:r>
        <w:rPr>
          <w:lang w:val="nb-NO"/>
        </w:rPr>
        <w:t>các nhiệm vụ nghiên cứu khoa học, phát triển công nghệ và đổi mới sáng tạo, hỗ trợ giảng viên đại học, người học trong thực hành, thí nghiệm và hoạt động nghiên cứu khác trong cơ sở giáo dục đại học, cụ thể như sau:</w:t>
      </w:r>
    </w:p>
    <w:p>
      <w:pPr>
        <w:pStyle w:val="Normal"/>
        <w:spacing w:before="120" w:after="120"/>
        <w:ind w:firstLine="720" w:right="0"/>
        <w:jc w:val="both"/>
        <w:rPr>
          <w:lang w:val="nb-NO"/>
        </w:rPr>
      </w:pPr>
      <w:r>
        <w:rPr>
          <w:lang w:val="nb-NO"/>
        </w:rPr>
        <w:t xml:space="preserve">a) Chủ trì hoặc tham gia thực hiện hoạt động khoa học, công nghệ và đổi mới sáng tạo; </w:t>
      </w:r>
      <w:r>
        <w:rPr/>
        <w:t>tham gia xây dựng và triển khai các hoạt động khoa học, công nghệ và đổi mới sáng tạo của cơ sở giáo dục đại học;</w:t>
      </w:r>
    </w:p>
    <w:p>
      <w:pPr>
        <w:pStyle w:val="Normal"/>
        <w:spacing w:before="120" w:after="120"/>
        <w:ind w:firstLine="720" w:right="0"/>
        <w:jc w:val="both"/>
        <w:rPr/>
      </w:pPr>
      <w:r>
        <w:rPr>
          <w:lang w:val="nb-NO"/>
        </w:rPr>
        <w:t>b) Trực tiếp nghiên cứu, tham gia các hoạt động điều tra, khảo sát, phục vụ nghiên cứu và hướng dẫn, kiểm tra người học thực hiện các nội dung nghiên cứu, thí nghiệm được giao; tham gia các sinh hoạt học thuật chuyên ngành;</w:t>
      </w:r>
    </w:p>
    <w:p>
      <w:pPr>
        <w:pStyle w:val="Normal"/>
        <w:spacing w:before="120" w:after="120"/>
        <w:ind w:firstLine="720" w:right="0"/>
        <w:jc w:val="both"/>
        <w:rPr>
          <w:lang w:val="nb-NO"/>
        </w:rPr>
      </w:pPr>
      <w:r>
        <w:rPr>
          <w:lang w:val="nb-NO"/>
        </w:rPr>
        <w:t>c) Chủ trì hoặc tham gia viết báo cáo tổng kết nhiệm vụ khoa học, công nghệ và đổi mới sáng tạo, biên soạn tài liệu, thông tin nhằm phổ biến và ứng dụng rộng rãi các kết quả nghiên cứu vào giảng dạy tại cơ sở giáo dục.</w:t>
      </w:r>
    </w:p>
    <w:p>
      <w:pPr>
        <w:pStyle w:val="Normal"/>
        <w:spacing w:before="120" w:after="120"/>
        <w:ind w:firstLine="720" w:right="0"/>
        <w:jc w:val="both"/>
        <w:rPr/>
      </w:pPr>
      <w:bookmarkStart w:id="7" w:name="_Hlk209638645"/>
      <w:r>
        <w:rPr>
          <w:lang w:val="nb-NO"/>
        </w:rPr>
        <w:t xml:space="preserve">d) Thực hiện các nhiệm vụ khác do người đứng đầu cơ sở giáo dục đại học </w:t>
      </w:r>
      <w:r>
        <w:rPr>
          <w:spacing w:val="-2"/>
          <w:lang w:val="nb-NO"/>
        </w:rPr>
        <w:t>hoặc người đứng đầu đơn vị thuộc, trực thuộc cơ sở giáo dục đại học được phân cấp theo thẩm quyền</w:t>
      </w:r>
      <w:r>
        <w:rPr>
          <w:lang w:val="nb-NO"/>
        </w:rPr>
        <w:t xml:space="preserve"> phân công phù hợp với tiêu chuẩn về năng lực chuyên môn, nghiệp vụ của nghiên cứu viên và quy định khác của pháp luật có liên quan. </w:t>
      </w:r>
      <w:bookmarkEnd w:id="7"/>
    </w:p>
    <w:p>
      <w:pPr>
        <w:pStyle w:val="Normal"/>
        <w:spacing w:before="120" w:after="120"/>
        <w:ind w:firstLine="720" w:right="0"/>
        <w:jc w:val="both"/>
        <w:rPr/>
      </w:pPr>
      <w:bookmarkEnd w:id="6"/>
      <w:r>
        <w:rPr>
          <w:lang w:val="nb-NO"/>
        </w:rPr>
        <w:t>3. Nhân sự hỗ trợ giảng dạy thực hiện các nhiệm vụ hỗ trợ giảng viên trong hoạt động thực hành, thí nghiệm và hoạt động chuyên môn khác, cụ thể như sau:</w:t>
      </w:r>
    </w:p>
    <w:p>
      <w:pPr>
        <w:pStyle w:val="Normal"/>
        <w:spacing w:before="120" w:after="120"/>
        <w:ind w:firstLine="720" w:right="0"/>
        <w:jc w:val="both"/>
        <w:rPr>
          <w:spacing w:val="-2"/>
          <w:lang w:val="nb-NO"/>
        </w:rPr>
      </w:pPr>
      <w:r>
        <w:rPr>
          <w:spacing w:val="-2"/>
          <w:lang w:val="nb-NO"/>
        </w:rPr>
        <w:t>a) Chuẩn bị hoạt động thực hành, thí nghiệm: chuẩn bị phòng thí nghiệm, xưởng thực hành, thiết bị, dụng cụ và vật tư theo yêu cầu; tình trạng hoạt động của máy móc; tài liệu hướng dẫn, quy trình thao tác;</w:t>
      </w:r>
    </w:p>
    <w:p>
      <w:pPr>
        <w:pStyle w:val="Normal"/>
        <w:spacing w:before="120" w:after="120"/>
        <w:ind w:firstLine="720" w:right="0"/>
        <w:jc w:val="both"/>
        <w:rPr/>
      </w:pPr>
      <w:r>
        <w:rPr>
          <w:spacing w:val="-2"/>
          <w:lang w:val="nb-NO"/>
        </w:rPr>
        <w:t xml:space="preserve">b) Hỗ trợ tổ chức và hướng dẫn người học: giám sát quá trình thực hành, thí nghiệm bảo đảm an toàn và tuân thủ quy định;   </w:t>
      </w:r>
    </w:p>
    <w:p>
      <w:pPr>
        <w:pStyle w:val="Normal"/>
        <w:spacing w:before="120" w:after="120"/>
        <w:ind w:firstLine="720" w:right="0"/>
        <w:jc w:val="both"/>
        <w:rPr>
          <w:spacing w:val="-2"/>
          <w:lang w:val="nb-NO"/>
        </w:rPr>
      </w:pPr>
      <w:r>
        <w:rPr>
          <w:spacing w:val="-2"/>
          <w:lang w:val="nb-NO"/>
        </w:rPr>
        <w:t>c) Hỗ trợ đánh giá và quản lý kết quả thực hành, thí nghiệm của người học theo phân công của giảng viên; theo dõi mức độ tham gia và tiến độ hoàn thành của người học;</w:t>
      </w:r>
    </w:p>
    <w:p>
      <w:pPr>
        <w:pStyle w:val="Normal"/>
        <w:spacing w:before="120" w:after="120"/>
        <w:ind w:firstLine="720" w:right="0"/>
        <w:jc w:val="both"/>
        <w:rPr>
          <w:spacing w:val="-2"/>
          <w:lang w:val="nb-NO"/>
        </w:rPr>
      </w:pPr>
      <w:r>
        <w:rPr>
          <w:spacing w:val="-2"/>
          <w:lang w:val="nb-NO"/>
        </w:rPr>
        <w:t xml:space="preserve">d) Quản lý, bảo quản thiết bị, dụng cụ, vật tư; đề xuất sửa chữa, thay thế khi cần thiết; kiểm kê, theo dõi việc sử dụng tài sản phục vụ giảng dạy thực hành, thí nghiệm. </w:t>
      </w:r>
    </w:p>
    <w:p>
      <w:pPr>
        <w:pStyle w:val="Normal"/>
        <w:spacing w:before="120" w:after="120"/>
        <w:ind w:firstLine="720" w:right="0"/>
        <w:jc w:val="both"/>
        <w:rPr/>
      </w:pPr>
      <w:r>
        <w:rPr>
          <w:spacing w:val="-2"/>
          <w:lang w:val="nb-NO"/>
        </w:rPr>
        <w:t>đ) Học tập, bồi dưỡng nâng cao trình độ lý luận chính trị, chuyên môn, nghiệp vụ và phương pháp giảng dạy thực hành, thí nghiệm; tham gia hoạt động thực tiễn để nâng cao chất lượng đào tạo và nghiên cứu khoa học;</w:t>
      </w:r>
    </w:p>
    <w:p>
      <w:pPr>
        <w:pStyle w:val="Normal"/>
        <w:spacing w:before="120" w:after="120"/>
        <w:ind w:firstLine="720" w:right="0"/>
        <w:jc w:val="both"/>
        <w:rPr/>
      </w:pPr>
      <w:r>
        <w:rPr>
          <w:spacing w:val="-2"/>
          <w:lang w:val="nb-NO"/>
        </w:rPr>
        <w:t xml:space="preserve">e) Tham gia công tác quản lý, công tác Đảng, đoàn thể và thực hiện các nhiệm vụ chuyên môn khác </w:t>
      </w:r>
      <w:r>
        <w:rPr>
          <w:lang w:val="nb-NO"/>
        </w:rPr>
        <w:t xml:space="preserve">do người đứng đầu cơ sở giáo dục đại học </w:t>
      </w:r>
      <w:r>
        <w:rPr>
          <w:spacing w:val="-2"/>
          <w:lang w:val="nb-NO"/>
        </w:rPr>
        <w:t xml:space="preserve">hoặc người đứng đầu đơn vị thuộc, trực thuộc cơ sở giáo dục đại học được phân cấp theo thẩm quyền phân công phù hợp với tiêu chuẩn </w:t>
      </w:r>
      <w:r>
        <w:rPr>
          <w:lang w:val="nb-NO"/>
        </w:rPr>
        <w:t xml:space="preserve">về năng lực chuyên môn, nghiệp vụ </w:t>
      </w:r>
      <w:r>
        <w:rPr>
          <w:spacing w:val="-2"/>
          <w:lang w:val="nb-NO"/>
        </w:rPr>
        <w:t>của nhân sự hỗ trợ giảng dạy và quy định khác của pháp luật có liên quan.</w:t>
      </w:r>
    </w:p>
    <w:p>
      <w:pPr>
        <w:pStyle w:val="Normal"/>
        <w:spacing w:before="120" w:after="120"/>
        <w:ind w:firstLine="720" w:right="0"/>
        <w:jc w:val="both"/>
        <w:rPr/>
      </w:pPr>
      <w:r>
        <w:rPr>
          <w:b/>
          <w:bCs/>
          <w:lang w:val="nb-NO"/>
        </w:rPr>
        <w:t>Điều 8. Chế độ làm việc của nhân sự hỗ trợ giáo dục đại học</w:t>
      </w:r>
    </w:p>
    <w:p>
      <w:pPr>
        <w:pStyle w:val="Normal"/>
        <w:spacing w:before="120" w:after="120"/>
        <w:ind w:firstLine="720" w:right="0"/>
        <w:jc w:val="both"/>
        <w:rPr/>
      </w:pPr>
      <w:r>
        <w:rPr>
          <w:lang w:val="nb-NO"/>
        </w:rPr>
        <w:t>1. Thời gian làm việc của nhân sự hỗ trợ giáo dục đại học trong năm học là 44 tuần (tương đương 1.760 giờ hành chính) để thực hiện hoạt động nghề nghiệp (hỗ trợ giảng dạy, thực hiện hoạt động khoa học, công nghệ và đổi mới sáng tạo, học tập, bồi dưỡng, thực hành, thí nghiệm và các hoạt động chuyên môn khác), được xác định theo học kỳ hoặc năm học sau khi trừ số ngày nghỉ theo quy định.</w:t>
      </w:r>
    </w:p>
    <w:p>
      <w:pPr>
        <w:pStyle w:val="Normal"/>
        <w:spacing w:before="120" w:after="120"/>
        <w:ind w:firstLine="720" w:right="0"/>
        <w:jc w:val="both"/>
        <w:rPr/>
      </w:pPr>
      <w:r>
        <w:rPr>
          <w:lang w:val="nb-NO"/>
        </w:rPr>
        <w:t xml:space="preserve">2. Nhân sự hỗ trợ giáo dục đại học làm việc theo chế độ 40 giờ trong một tuần, thời gian bố trí linh hoạt theo yêu cầu của nhiệm vụ chuyên môn, trong trường hợp cần thiết phải thực hiện vào thời gian cuối tuần hoặc ngoài giờ hành chính. Ngoài thời gian được phân công thực hiện hoạt động nghề nghiệp, nhân sự hỗ trợ giáo dục đại học thực hiện chế độ làm việc theo giờ hành chính; thực hiện chế độ nghỉ phép theo quy định của Nhà nước, thời gian nghỉ phép được bố trí linh hoạt theo kế hoạch của cơ sở giáo dục đại học, bảo đảm không ảnh hưởng tới việc thực hiện nhiệm vụ chuyên môn được phân công. </w:t>
      </w:r>
    </w:p>
    <w:p>
      <w:pPr>
        <w:pStyle w:val="Normal"/>
        <w:spacing w:before="120" w:after="120"/>
        <w:ind w:firstLine="720" w:right="0"/>
        <w:jc w:val="both"/>
        <w:rPr>
          <w:lang w:val="nb-NO"/>
        </w:rPr>
      </w:pPr>
      <w:bookmarkStart w:id="8" w:name="_Hlk233461188"/>
      <w:r>
        <w:rPr/>
        <w:t>3. Căn cứ đặc thù ngành đào tạo, lĩnh vực nghiên cứu và điều kiện tổ chức thực hiện, người đứng đầu cơ sở giáo dục đại học quy định cụ thể việc phân bổ thời gian làm việc đối với từng nhóm nhân sự hỗ trợ giáo dục đại học.</w:t>
      </w:r>
    </w:p>
    <w:p>
      <w:pPr>
        <w:pStyle w:val="Normal"/>
        <w:spacing w:before="120" w:after="120"/>
        <w:ind w:firstLine="720" w:right="0"/>
        <w:jc w:val="both"/>
        <w:rPr/>
      </w:pPr>
      <w:bookmarkEnd w:id="8"/>
      <w:r>
        <w:rPr>
          <w:lang w:val="nb-NO"/>
        </w:rPr>
        <w:t>4. Tổng số giờ làm thêm của nhân sự hỗ trợ giáo dục đại học không vượt quá số giờ làm thêm theo quy định của pháp luật.</w:t>
      </w:r>
    </w:p>
    <w:p>
      <w:pPr>
        <w:pStyle w:val="Normal"/>
        <w:spacing w:before="120" w:after="120"/>
        <w:ind w:firstLine="720" w:right="0"/>
        <w:jc w:val="both"/>
        <w:rPr>
          <w:b/>
          <w:iCs/>
          <w:lang w:val="nb-NO"/>
        </w:rPr>
      </w:pPr>
      <w:r>
        <w:rPr>
          <w:lang w:val="nb-NO"/>
        </w:rPr>
        <w:t xml:space="preserve">5. Nhân sự hỗ trợ giáo dục đại học được thanh toán tiền lương làm thêm giờ theo quy định. </w:t>
      </w:r>
    </w:p>
    <w:p>
      <w:pPr>
        <w:pStyle w:val="Normal"/>
        <w:tabs>
          <w:tab w:val="left" w:pos="720" w:leader="none"/>
        </w:tabs>
        <w:spacing w:before="240" w:after="0"/>
        <w:jc w:val="both"/>
        <w:rPr/>
      </w:pPr>
      <w:r>
        <w:rPr>
          <w:b/>
          <w:bCs/>
        </w:rPr>
        <w:tab/>
        <w:t>Điều 9. Bổ nhiệm và xếp lương đối với nhân sự hỗ trợ giáo dục đại học</w:t>
      </w:r>
    </w:p>
    <w:p>
      <w:pPr>
        <w:pStyle w:val="Normal"/>
        <w:tabs>
          <w:tab w:val="left" w:pos="720" w:leader="none"/>
        </w:tabs>
        <w:spacing w:before="240" w:after="0"/>
        <w:jc w:val="both"/>
        <w:rPr/>
      </w:pPr>
      <w:r>
        <w:rPr>
          <w:b/>
          <w:bCs/>
        </w:rPr>
        <w:tab/>
      </w:r>
      <w:r>
        <w:rPr/>
        <w:t>1. Việc bổ nhiệm và xếp lương đối với trợ giảng, nghiên cứu viên và nhân sự hỗ trợ giảng dạy được thực hiện theo vị trí việc làm, quy định của pháp luật về viên chức, pháp luật về lao động và nhu cầu sử dụng của cơ sở giáo dục đại học.</w:t>
      </w:r>
    </w:p>
    <w:p>
      <w:pPr>
        <w:pStyle w:val="Normal"/>
        <w:tabs>
          <w:tab w:val="left" w:pos="720" w:leader="none"/>
        </w:tabs>
        <w:spacing w:before="240" w:after="0"/>
        <w:jc w:val="both"/>
        <w:rPr/>
      </w:pPr>
      <w:r>
        <w:rPr/>
        <w:tab/>
        <w:t>2. Người được bổ nhiệm vào vị trí việc làm trợ giảng, nghiên cứu viên hoặc nhân sự hỗ trợ giảng dạy phải đáp ứng các tiêu chuẩn, điều kiện quy định tại Thông tư này và quy định khác của pháp luật có liên quan.</w:t>
      </w:r>
    </w:p>
    <w:p>
      <w:pPr>
        <w:pStyle w:val="Normal"/>
        <w:tabs>
          <w:tab w:val="left" w:pos="720" w:leader="none"/>
        </w:tabs>
        <w:spacing w:before="240" w:after="0"/>
        <w:jc w:val="both"/>
        <w:rPr/>
      </w:pPr>
      <w:r>
        <w:rPr/>
        <w:tab/>
        <w:t>3. Thẩm quyền, trình tự, thủ tục bổ nhiệm, thay đổi vị trí việc làm, thay đổi bậc nghề nghiệp của vị trí việc làm và xếp lương đối với nhân sự hỗ trợ giáo dục đại học thực hiện theo quy định của pháp luật về viên chức, pháp luật về lao động và quy chế tổ chức, hoạt động của cơ sở giáo dục đại học.</w:t>
      </w:r>
    </w:p>
    <w:p>
      <w:pPr>
        <w:pStyle w:val="Normal"/>
        <w:jc w:val="center"/>
        <w:rPr>
          <w:b/>
          <w:iCs/>
          <w:lang w:val="nb-NO"/>
        </w:rPr>
      </w:pPr>
      <w:r>
        <w:rPr>
          <w:b/>
          <w:iCs/>
          <w:lang w:val="nb-NO"/>
        </w:rPr>
      </w:r>
      <w:bookmarkEnd w:id="1"/>
      <w:bookmarkEnd w:id="5"/>
    </w:p>
    <w:p>
      <w:pPr>
        <w:pStyle w:val="Normal"/>
        <w:jc w:val="center"/>
        <w:rPr>
          <w:b/>
          <w:iCs/>
          <w:lang w:val="nb-NO"/>
        </w:rPr>
      </w:pPr>
      <w:r>
        <w:rPr>
          <w:b/>
          <w:iCs/>
          <w:lang w:val="nb-NO"/>
        </w:rPr>
        <w:t>Chương III</w:t>
      </w:r>
    </w:p>
    <w:p>
      <w:pPr>
        <w:pStyle w:val="Normal"/>
        <w:jc w:val="center"/>
        <w:rPr>
          <w:b/>
          <w:bCs/>
          <w:lang w:val="nb-NO"/>
        </w:rPr>
      </w:pPr>
      <w:bookmarkStart w:id="9" w:name="_Hlk210639531"/>
      <w:r>
        <w:rPr>
          <w:b/>
          <w:bCs/>
          <w:lang w:val="nb-NO"/>
        </w:rPr>
        <w:t>TỔ CHỨC THỰC HIỆN</w:t>
      </w:r>
    </w:p>
    <w:p>
      <w:pPr>
        <w:pStyle w:val="Normal"/>
        <w:spacing w:before="120" w:after="120"/>
        <w:ind w:firstLine="720" w:right="0"/>
        <w:jc w:val="both"/>
        <w:rPr>
          <w:b/>
          <w:lang w:val="nb-NO"/>
        </w:rPr>
      </w:pPr>
      <w:bookmarkStart w:id="10" w:name="_Hlk210639606"/>
      <w:bookmarkEnd w:id="9"/>
      <w:r>
        <w:rPr>
          <w:b/>
          <w:lang w:val="nb-NO"/>
        </w:rPr>
        <w:t xml:space="preserve">Điều 10. </w:t>
      </w:r>
      <w:r>
        <w:rPr>
          <w:b/>
          <w:bCs/>
          <w:lang w:val="nb-NO"/>
        </w:rPr>
        <w:t>Điều khoản chuyển tiếp</w:t>
      </w:r>
    </w:p>
    <w:p>
      <w:pPr>
        <w:pStyle w:val="Normal"/>
        <w:spacing w:before="120" w:after="120"/>
        <w:ind w:firstLine="720" w:right="0"/>
        <w:jc w:val="both"/>
        <w:rPr>
          <w:spacing w:val="-2"/>
          <w:lang w:val="nb-NO"/>
        </w:rPr>
      </w:pPr>
      <w:bookmarkStart w:id="11" w:name="_Hlk217972052"/>
      <w:bookmarkEnd w:id="10"/>
      <w:r>
        <w:rPr>
          <w:spacing w:val="-2"/>
          <w:lang w:val="nb-NO"/>
        </w:rPr>
        <w:t xml:space="preserve">1. Viên chức đã được bổ nhiệm vào chức danh trợ giảng theo quy định của Bộ trưởng Bộ Giáo dục và Đào tạo trước ngày Thông tư này có hiệu lực nếu đáp ứng các tiêu chuẩn, điều kiện của vị trí việc làm trợ giảng thì căn cứ vào vị trí việc làm, yêu cầu nhiệm vụ, </w:t>
      </w:r>
      <w:r>
        <w:rPr>
          <w:spacing w:val="-2"/>
        </w:rPr>
        <w:t xml:space="preserve">người đứng đầu cơ sở giáo dục đại học thực hiện việc rà soát, bố trí vào vị trí việc làm theo quy định của pháp luật về viên chức, </w:t>
      </w:r>
      <w:r>
        <w:rPr/>
        <w:t xml:space="preserve">pháp luật về lao động </w:t>
      </w:r>
      <w:r>
        <w:rPr>
          <w:spacing w:val="-2"/>
        </w:rPr>
        <w:t>và vị trí việc làm.</w:t>
      </w:r>
    </w:p>
    <w:p>
      <w:pPr>
        <w:pStyle w:val="Normal"/>
        <w:spacing w:before="120" w:after="120"/>
        <w:ind w:firstLine="720" w:right="0"/>
        <w:jc w:val="both"/>
        <w:rPr>
          <w:spacing w:val="-2"/>
          <w:lang w:val="nb-NO"/>
        </w:rPr>
      </w:pPr>
      <w:r>
        <w:rPr>
          <w:spacing w:val="-2"/>
          <w:lang w:val="nb-NO"/>
        </w:rPr>
        <w:t xml:space="preserve">2. Viên chức đã được bổ nhiệm vào các chức danh của nghiên cứu viên và các chức danh khác có liên quan tới hỗ trợ giảng dạy trong cơ sở giáo dục đại học thì căn cứ vào vị trí việc làm, yêu cầu nhiệm vụ, </w:t>
      </w:r>
      <w:r>
        <w:rPr>
          <w:spacing w:val="-2"/>
        </w:rPr>
        <w:t xml:space="preserve">người đứng đầu cơ sở giáo dục đại học thực hiện việc rà soát, bố trí vào vị trí việc làm theo quy định của pháp luật về viên chức, </w:t>
      </w:r>
      <w:r>
        <w:rPr/>
        <w:t>pháp luật về lao động</w:t>
      </w:r>
      <w:r>
        <w:rPr>
          <w:spacing w:val="-2"/>
        </w:rPr>
        <w:t xml:space="preserve"> và vị trí việc làm.</w:t>
      </w:r>
    </w:p>
    <w:p>
      <w:pPr>
        <w:pStyle w:val="Normal"/>
        <w:spacing w:before="120" w:after="120"/>
        <w:ind w:firstLine="720" w:right="0"/>
        <w:jc w:val="both"/>
        <w:rPr/>
      </w:pPr>
      <w:bookmarkEnd w:id="11"/>
      <w:r>
        <w:rPr>
          <w:b/>
          <w:lang w:val="nb-NO"/>
        </w:rPr>
        <w:t>Điều 11. Trách nhiệm thực hiện</w:t>
      </w:r>
    </w:p>
    <w:p>
      <w:pPr>
        <w:pStyle w:val="Normal"/>
        <w:spacing w:before="120" w:after="120"/>
        <w:ind w:firstLine="720" w:right="0"/>
        <w:jc w:val="both"/>
        <w:rPr>
          <w:lang w:val="nb-NO"/>
        </w:rPr>
      </w:pPr>
      <w:bookmarkStart w:id="12" w:name="_Hlk210639669"/>
      <w:r>
        <w:rPr>
          <w:lang w:val="nb-NO"/>
        </w:rPr>
        <w:t xml:space="preserve">1. Cục Nhà giáo và Cán bộ quản lý giáo dục chủ trì, phối hợp với các đơn vị liên quan giúp Bộ trưởng Bộ Giáo dục và Đào tạo chỉ đạo, hướng dẫn, kiểm tra việc thực hiện các quy định của Thông tư này; </w:t>
      </w:r>
    </w:p>
    <w:p>
      <w:pPr>
        <w:pStyle w:val="Normal"/>
        <w:spacing w:before="120" w:after="120"/>
        <w:ind w:firstLine="720" w:right="0"/>
        <w:jc w:val="both"/>
        <w:rPr/>
      </w:pPr>
      <w:r>
        <w:rPr>
          <w:spacing w:val="-2"/>
          <w:lang w:val="nb-NO"/>
        </w:rPr>
        <w:t>2. Người đứng đầu cơ sở giáo dục đại học hoặc người đứng đầu đơn vị thuộc, trực thuộc cơ sở giáo dục đại học được phân cấp theo thẩm quyền căn cứ vị trí việc làm, tiêu chuẩn, điều kiện và yêu cầu nhiệm vụ của nhân sự hỗ trợ giáo dục đại học:</w:t>
      </w:r>
    </w:p>
    <w:p>
      <w:pPr>
        <w:pStyle w:val="Normal"/>
        <w:spacing w:before="120" w:after="120"/>
        <w:ind w:firstLine="720" w:right="0"/>
        <w:jc w:val="both"/>
        <w:rPr>
          <w:lang w:val="nb-NO"/>
        </w:rPr>
      </w:pPr>
      <w:r>
        <w:rPr>
          <w:spacing w:val="-2"/>
          <w:lang w:val="nb-NO"/>
        </w:rPr>
        <w:t>a) Bố trí, phân công, giao nhiệm vụ cho trợ giảng, nghiên cứu viên và nhân sự hỗ trợ giảng dạy và đánh giá mức độ hoàn thành nhiệm vụ theo vị trí việc làm</w:t>
      </w:r>
      <w:r>
        <w:rPr>
          <w:lang w:val="nb-NO"/>
        </w:rPr>
        <w:t xml:space="preserve">; </w:t>
      </w:r>
    </w:p>
    <w:p>
      <w:pPr>
        <w:pStyle w:val="Normal"/>
        <w:spacing w:before="120" w:after="120"/>
        <w:ind w:firstLine="720" w:right="0"/>
        <w:jc w:val="both"/>
        <w:rPr>
          <w:lang w:val="nb-NO"/>
        </w:rPr>
      </w:pPr>
      <w:r>
        <w:rPr>
          <w:lang w:val="nb-NO"/>
        </w:rPr>
        <w:t xml:space="preserve">b) Xây dựng và thực hiện kế hoạch đào tạo, bồi dưỡng, phát triển đội ngũ </w:t>
      </w:r>
      <w:r>
        <w:rPr>
          <w:spacing w:val="-2"/>
          <w:lang w:val="nb-NO"/>
        </w:rPr>
        <w:t>trợ giảng, nghiên cứu viên và nhân sự hỗ trợ giảng dạy</w:t>
      </w:r>
      <w:r>
        <w:rPr>
          <w:lang w:val="nb-NO"/>
        </w:rPr>
        <w:t xml:space="preserve"> theo thẩm quyền; </w:t>
      </w:r>
    </w:p>
    <w:p>
      <w:pPr>
        <w:pStyle w:val="Normal"/>
        <w:spacing w:before="120" w:after="120"/>
        <w:ind w:firstLine="720" w:right="0"/>
        <w:jc w:val="both"/>
        <w:rPr>
          <w:lang w:val="nb-NO"/>
        </w:rPr>
      </w:pPr>
      <w:r>
        <w:rPr>
          <w:lang w:val="nb-NO"/>
        </w:rPr>
        <w:t xml:space="preserve">c) Tham mưu với cơ quan quản lý cấp trên, chính quyền địa phương về công tác quản lý, bồi dưỡng nâng cao phẩm chất, năng lực chuyên môn, nghiệp vụ cho đội ngũ </w:t>
      </w:r>
      <w:r>
        <w:rPr>
          <w:spacing w:val="-2"/>
          <w:lang w:val="nb-NO"/>
        </w:rPr>
        <w:t>trợ giảng, nghiên cứu viên và nhân sự hỗ trợ giảng dạy</w:t>
      </w:r>
      <w:r>
        <w:rPr>
          <w:lang w:val="nb-NO"/>
        </w:rPr>
        <w:t>.</w:t>
      </w:r>
    </w:p>
    <w:p>
      <w:pPr>
        <w:pStyle w:val="Normal"/>
        <w:spacing w:before="120" w:after="120"/>
        <w:ind w:firstLine="720" w:right="0"/>
        <w:jc w:val="both"/>
        <w:rPr/>
      </w:pPr>
      <w:r>
        <w:rPr>
          <w:lang w:val="nb-NO"/>
        </w:rPr>
        <w:t>3. Cơ sở giáo dục đại học ngoài công lập căn cứ vào tiêu chuẩn, điều kiện và chế độ làm việc quy định về nhân sự giáo dục đại học thực hiện tuyển dụng, trả tiền lương theo công việc, phụ cấp lương và các khoản bổ sung khác (nếu có) theo quy chế tổ chức và hoạt động của cơ sở giáo dục đại học, bảo đảm công khai, minh bạch và theo quy định của pháp luật.</w:t>
      </w:r>
    </w:p>
    <w:p>
      <w:pPr>
        <w:pStyle w:val="Normal"/>
        <w:spacing w:before="120" w:after="120"/>
        <w:ind w:firstLine="720" w:right="0"/>
        <w:jc w:val="both"/>
        <w:rPr/>
      </w:pPr>
      <w:bookmarkEnd w:id="12"/>
      <w:r>
        <w:rPr>
          <w:b/>
          <w:lang w:val="nb-NO"/>
        </w:rPr>
        <w:t>Điều 12. Tổ chức thực hiện</w:t>
      </w:r>
    </w:p>
    <w:p>
      <w:pPr>
        <w:pStyle w:val="Normal"/>
        <w:spacing w:before="120" w:after="120"/>
        <w:ind w:firstLine="720" w:right="0"/>
        <w:jc w:val="both"/>
        <w:rPr/>
      </w:pPr>
      <w:bookmarkStart w:id="13" w:name="dieu_2_name"/>
      <w:r>
        <w:rPr>
          <w:bCs/>
          <w:lang w:val="nb-NO"/>
        </w:rPr>
        <w:t>1. Thông tư này có hiệu lực thi hành kể từ ngày      tháng     năm 20</w:t>
      </w:r>
      <w:bookmarkEnd w:id="13"/>
      <w:r>
        <w:rPr>
          <w:bCs/>
          <w:lang w:val="nb-NO"/>
        </w:rPr>
        <w:t>26.</w:t>
      </w:r>
    </w:p>
    <w:p>
      <w:pPr>
        <w:pStyle w:val="Normal"/>
        <w:spacing w:before="120" w:after="120"/>
        <w:ind w:firstLine="720" w:right="0"/>
        <w:jc w:val="both"/>
        <w:rPr>
          <w:lang w:val="nb-NO"/>
        </w:rPr>
      </w:pPr>
      <w:r>
        <w:rPr>
          <w:lang w:val="nb-NO"/>
        </w:rPr>
        <w:t xml:space="preserve">2. </w:t>
      </w:r>
      <w:r>
        <w:rPr>
          <w:lang w:val="vi-VN"/>
        </w:rPr>
        <w:t xml:space="preserve">Bộ trưởng, Thủ trưởng cơ quan ngang Bộ, Thủ trưởng cơ quan thuộc Chính phủ, Chủ tịch </w:t>
      </w:r>
      <w:r>
        <w:rPr>
          <w:lang w:val="nb-NO"/>
        </w:rPr>
        <w:t>Ủ</w:t>
      </w:r>
      <w:r>
        <w:rPr>
          <w:lang w:val="vi-VN"/>
        </w:rPr>
        <w:t>y ban nhân dân tỉnh, thành phố</w:t>
      </w:r>
      <w:r>
        <w:rPr>
          <w:lang w:val="nb-NO"/>
        </w:rPr>
        <w:t xml:space="preserve"> trực thuộc Trung ương;</w:t>
      </w:r>
      <w:r>
        <w:rPr>
          <w:lang w:val="vi-VN"/>
        </w:rPr>
        <w:t xml:space="preserve"> </w:t>
      </w:r>
      <w:r>
        <w:rPr>
          <w:lang w:val="nb-NO"/>
        </w:rPr>
        <w:t xml:space="preserve">cơ sở giáo dục đại học </w:t>
      </w:r>
      <w:r>
        <w:rPr>
          <w:lang w:val="vi-VN"/>
        </w:rPr>
        <w:t>và các cơ quan, tổ chức, cá nhân có liên quan chịu trách nhiệm thi hành Thông tư này.</w:t>
      </w:r>
    </w:p>
    <w:p>
      <w:pPr>
        <w:pStyle w:val="Normal"/>
        <w:spacing w:before="120" w:after="120"/>
        <w:ind w:firstLine="720" w:right="0"/>
        <w:jc w:val="both"/>
        <w:rPr>
          <w:lang w:val="nb-NO"/>
        </w:rPr>
      </w:pPr>
      <w:r>
        <w:rPr>
          <w:lang w:val="nb-NO"/>
        </w:rPr>
        <w:t>3. Trường hợp các văn bản dẫn chiếu tại Thông tư này được sửa đổi, bổ sung hoặc thay thế thì thực hiện theo các văn bản mới./.</w:t>
      </w:r>
    </w:p>
    <w:p>
      <w:pPr>
        <w:pStyle w:val="Normal"/>
        <w:spacing w:lineRule="auto" w:line="288" w:before="120" w:after="120"/>
        <w:ind w:firstLine="720" w:right="57"/>
        <w:jc w:val="both"/>
        <w:rPr>
          <w:lang w:val="nb-NO"/>
        </w:rPr>
      </w:pPr>
      <w:r>
        <w:rPr>
          <w:lang w:val="nb-NO"/>
        </w:rPr>
      </w:r>
    </w:p>
    <w:tbl>
      <w:tblPr>
        <w:tblW w:w="9889" w:type="dxa"/>
        <w:jc w:val="left"/>
        <w:tblInd w:w="0" w:type="dxa"/>
        <w:tblLayout w:type="fixed"/>
        <w:tblCellMar>
          <w:top w:w="0" w:type="dxa"/>
          <w:left w:w="108" w:type="dxa"/>
          <w:bottom w:w="0" w:type="dxa"/>
          <w:right w:w="108" w:type="dxa"/>
        </w:tblCellMar>
      </w:tblPr>
      <w:tblGrid>
        <w:gridCol w:w="5637"/>
        <w:gridCol w:w="4252"/>
      </w:tblGrid>
      <w:tr>
        <w:trPr/>
        <w:tc>
          <w:tcPr>
            <w:tcW w:w="5637" w:type="dxa"/>
            <w:tcBorders/>
          </w:tcPr>
          <w:p>
            <w:pPr>
              <w:pStyle w:val="Normal"/>
              <w:rPr/>
            </w:pPr>
            <w:r>
              <w:rPr>
                <w:b/>
                <w:bCs/>
                <w:i/>
                <w:iCs/>
                <w:sz w:val="24"/>
                <w:lang w:val="vi-VN"/>
              </w:rPr>
              <w:t>Nơi nhận:</w:t>
            </w:r>
            <w:r>
              <w:rPr>
                <w:sz w:val="22"/>
                <w:szCs w:val="22"/>
                <w:lang w:val="nb-NO"/>
              </w:rPr>
              <w:br/>
              <w:t>- Văn phòng Quốc hội;</w:t>
            </w:r>
            <w:r>
              <w:rPr>
                <w:sz w:val="22"/>
                <w:szCs w:val="22"/>
                <w:shd w:fill="FFFFFF" w:val="clear"/>
                <w:lang w:val="nb-NO"/>
              </w:rPr>
              <w:t xml:space="preserve"> </w:t>
            </w:r>
          </w:p>
          <w:p>
            <w:pPr>
              <w:pStyle w:val="Normal"/>
              <w:rPr>
                <w:sz w:val="22"/>
                <w:szCs w:val="22"/>
                <w:lang w:val="nb-NO"/>
              </w:rPr>
            </w:pPr>
            <w:r>
              <w:rPr>
                <w:sz w:val="22"/>
                <w:szCs w:val="22"/>
                <w:shd w:fill="FFFFFF" w:val="clear"/>
                <w:lang w:val="nb-NO"/>
              </w:rPr>
              <w:t>- Văn phòng Chính phủ;</w:t>
            </w:r>
          </w:p>
          <w:p>
            <w:pPr>
              <w:pStyle w:val="Normal"/>
              <w:rPr>
                <w:sz w:val="22"/>
                <w:szCs w:val="22"/>
                <w:shd w:fill="FFFFFF" w:val="clear"/>
                <w:lang w:val="nb-NO"/>
              </w:rPr>
            </w:pPr>
            <w:r>
              <w:rPr>
                <w:sz w:val="22"/>
                <w:szCs w:val="22"/>
                <w:shd w:fill="FFFFFF" w:val="clear"/>
                <w:lang w:val="nb-NO"/>
              </w:rPr>
              <w:t>- Ủy ban VH&amp;XH của Quốc hội;</w:t>
            </w:r>
          </w:p>
          <w:p>
            <w:pPr>
              <w:pStyle w:val="Normal"/>
              <w:rPr/>
            </w:pPr>
            <w:r>
              <w:rPr>
                <w:sz w:val="22"/>
                <w:szCs w:val="22"/>
                <w:lang w:val="nb-NO"/>
              </w:rPr>
              <w:t>- Ban Tuyên giáo và Dân vận Trung ương;</w:t>
              <w:br/>
            </w:r>
            <w:r>
              <w:rPr>
                <w:sz w:val="22"/>
                <w:szCs w:val="22"/>
                <w:shd w:fill="FFFFFF" w:val="clear"/>
                <w:lang w:val="nb-NO"/>
              </w:rPr>
              <w:t>- Cục Kiểm tra văn bản và Quản lý xử lý vi phạm hành chính (Bộ Tư pháp);</w:t>
              <w:br/>
              <w:t>- Ủy ban Quốc gia đổi mới giáo dục và đào tạo;</w:t>
              <w:br/>
              <w:t>- Hội đồng Quốc gia Giáo dục và Phát triển nhân lực;</w:t>
            </w:r>
          </w:p>
          <w:p>
            <w:pPr>
              <w:pStyle w:val="Normal"/>
              <w:rPr>
                <w:b/>
                <w:bCs/>
                <w:i/>
                <w:iCs/>
                <w:sz w:val="22"/>
                <w:szCs w:val="22"/>
                <w:lang w:val="nb-NO"/>
              </w:rPr>
            </w:pPr>
            <w:r>
              <w:rPr>
                <w:sz w:val="22"/>
                <w:szCs w:val="22"/>
                <w:shd w:fill="FFFFFF" w:val="clear"/>
                <w:lang w:val="nb-NO"/>
              </w:rPr>
              <w:t>- Hội đồng Giáo sư nhà nước;</w:t>
              <w:br/>
            </w:r>
            <w:r>
              <w:rPr>
                <w:sz w:val="22"/>
                <w:szCs w:val="22"/>
                <w:lang w:val="nb-NO"/>
              </w:rPr>
              <w:t>- Các bộ, cơ quan ngang bộ;</w:t>
            </w:r>
          </w:p>
          <w:p>
            <w:pPr>
              <w:pStyle w:val="Normal"/>
              <w:rPr>
                <w:sz w:val="22"/>
                <w:szCs w:val="22"/>
                <w:lang w:val="nb-NO"/>
              </w:rPr>
            </w:pPr>
            <w:r>
              <w:rPr>
                <w:sz w:val="22"/>
                <w:szCs w:val="22"/>
                <w:lang w:val="nb-NO"/>
              </w:rPr>
              <w:t>- HĐND, UBND các tỉnh, thành phố trực thuộc Trung ương;</w:t>
            </w:r>
          </w:p>
          <w:p>
            <w:pPr>
              <w:pStyle w:val="Normal"/>
              <w:rPr>
                <w:sz w:val="22"/>
                <w:szCs w:val="22"/>
                <w:shd w:fill="FFFFFF" w:val="clear"/>
                <w:lang w:val="nb-NO"/>
              </w:rPr>
            </w:pPr>
            <w:r>
              <w:rPr>
                <w:sz w:val="22"/>
                <w:szCs w:val="22"/>
                <w:shd w:fill="FFFFFF" w:val="clear"/>
                <w:lang w:val="nb-NO"/>
              </w:rPr>
              <w:t>- Bộ trưởng (để báo cáo);</w:t>
            </w:r>
          </w:p>
          <w:p>
            <w:pPr>
              <w:pStyle w:val="Normal"/>
              <w:rPr>
                <w:sz w:val="22"/>
                <w:szCs w:val="22"/>
                <w:shd w:fill="FFFFFF" w:val="clear"/>
                <w:lang w:val="nb-NO"/>
              </w:rPr>
            </w:pPr>
            <w:r>
              <w:rPr>
                <w:sz w:val="22"/>
                <w:szCs w:val="22"/>
                <w:shd w:fill="FFFFFF" w:val="clear"/>
                <w:lang w:val="nb-NO"/>
              </w:rPr>
              <w:t>- Công đoàn Giáo dục Việt Nam;</w:t>
            </w:r>
          </w:p>
          <w:p>
            <w:pPr>
              <w:pStyle w:val="Normal"/>
              <w:rPr>
                <w:sz w:val="22"/>
                <w:szCs w:val="22"/>
                <w:lang w:val="nb-NO"/>
              </w:rPr>
            </w:pPr>
            <w:r>
              <w:rPr>
                <w:sz w:val="22"/>
                <w:szCs w:val="22"/>
                <w:shd w:fill="FFFFFF" w:val="clear"/>
                <w:lang w:val="nb-NO"/>
              </w:rPr>
              <w:t>- Như Khoản 2 Điều 12;</w:t>
              <w:br/>
            </w:r>
            <w:r>
              <w:rPr>
                <w:spacing w:val="-8"/>
                <w:sz w:val="22"/>
                <w:szCs w:val="22"/>
                <w:shd w:fill="FFFFFF" w:val="clear"/>
                <w:lang w:val="nb-NO"/>
              </w:rPr>
              <w:t>- Công báo CP; Cổng PLQG; CSDLQG về VBPL; Cổng TTĐT Chính phủ; Cổng TTĐT Bộ GDĐT;</w:t>
            </w:r>
            <w:r>
              <w:rPr>
                <w:sz w:val="22"/>
                <w:szCs w:val="22"/>
                <w:shd w:fill="FFFFFF" w:val="clear"/>
                <w:lang w:val="nb-NO"/>
              </w:rPr>
              <w:br/>
              <w:t>- Lưu: VT, PC, NGCBQLGD (05).</w:t>
            </w:r>
          </w:p>
        </w:tc>
        <w:tc>
          <w:tcPr>
            <w:tcW w:w="4252" w:type="dxa"/>
            <w:tcBorders/>
          </w:tcPr>
          <w:p>
            <w:pPr>
              <w:pStyle w:val="Normal"/>
              <w:jc w:val="center"/>
              <w:rPr/>
            </w:pPr>
            <w:r>
              <w:rPr>
                <w:b/>
                <w:bCs/>
                <w:lang w:val="nb-NO"/>
              </w:rPr>
              <w:t>KT. BỘ TRƯỞNG</w:t>
            </w:r>
          </w:p>
          <w:p>
            <w:pPr>
              <w:pStyle w:val="Normal"/>
              <w:jc w:val="center"/>
              <w:rPr>
                <w:b/>
                <w:bCs/>
                <w:lang w:val="nb-NO"/>
              </w:rPr>
            </w:pPr>
            <w:r>
              <w:rPr>
                <w:b/>
                <w:bCs/>
                <w:lang w:val="nb-NO"/>
              </w:rPr>
              <w:t>THỨ TRƯỞNG</w:t>
            </w:r>
          </w:p>
          <w:p>
            <w:pPr>
              <w:pStyle w:val="Normal"/>
              <w:spacing w:before="80" w:after="0"/>
              <w:jc w:val="center"/>
              <w:rPr>
                <w:b/>
                <w:bCs/>
                <w:lang w:val="nb-NO"/>
              </w:rPr>
            </w:pPr>
            <w:r>
              <w:rPr>
                <w:b/>
                <w:bCs/>
                <w:lang w:val="nb-NO"/>
              </w:rPr>
            </w:r>
          </w:p>
          <w:p>
            <w:pPr>
              <w:pStyle w:val="Normal"/>
              <w:spacing w:before="80" w:after="0"/>
              <w:jc w:val="center"/>
              <w:rPr>
                <w:bCs/>
                <w:lang w:val="nb-NO"/>
              </w:rPr>
            </w:pPr>
            <w:r>
              <w:rPr>
                <w:bCs/>
                <w:lang w:val="nb-NO"/>
              </w:rPr>
            </w:r>
          </w:p>
          <w:p>
            <w:pPr>
              <w:pStyle w:val="Normal"/>
              <w:spacing w:before="80" w:after="0"/>
              <w:jc w:val="center"/>
              <w:rPr>
                <w:bCs/>
                <w:lang w:val="nb-NO"/>
              </w:rPr>
            </w:pPr>
            <w:r>
              <w:rPr>
                <w:bCs/>
                <w:lang w:val="nb-NO"/>
              </w:rPr>
            </w:r>
          </w:p>
          <w:p>
            <w:pPr>
              <w:pStyle w:val="Normal"/>
              <w:spacing w:before="80" w:after="0"/>
              <w:jc w:val="center"/>
              <w:rPr>
                <w:lang w:val="nb-NO"/>
              </w:rPr>
            </w:pPr>
            <w:r>
              <w:rPr>
                <w:lang w:val="nb-NO"/>
              </w:rPr>
            </w:r>
          </w:p>
          <w:p>
            <w:pPr>
              <w:pStyle w:val="Normal"/>
              <w:spacing w:before="80" w:after="0"/>
              <w:jc w:val="center"/>
              <w:rPr>
                <w:b/>
                <w:lang w:val="nb-NO"/>
              </w:rPr>
            </w:pPr>
            <w:r>
              <w:rPr>
                <w:b/>
                <w:lang w:val="nb-NO"/>
              </w:rPr>
              <w:t>Phạm Ngọc Thưởng</w:t>
            </w:r>
          </w:p>
        </w:tc>
      </w:tr>
    </w:tbl>
    <w:p>
      <w:pPr>
        <w:pStyle w:val="Normal"/>
        <w:spacing w:before="60" w:after="0"/>
        <w:rPr>
          <w:b/>
          <w:sz w:val="4"/>
          <w:szCs w:val="26"/>
        </w:rPr>
      </w:pPr>
      <w:r>
        <w:rPr>
          <w:b/>
          <w:sz w:val="4"/>
          <w:szCs w:val="26"/>
        </w:rPr>
        <w:t>\</w:t>
      </w:r>
      <w:bookmarkEnd w:id="2"/>
    </w:p>
    <w:sectPr>
      <w:headerReference w:type="default" r:id="rId3"/>
      <w:headerReference w:type="first" r:id="rId4"/>
      <w:type w:val="nextPage"/>
      <w:pgSz w:w="11906" w:h="16838"/>
      <w:pgMar w:left="1588" w:right="1021" w:gutter="0" w:header="567" w:top="1021" w:footer="0" w:bottom="1021"/>
      <w:pgNumType w:start="1" w:fmt="decimal"/>
      <w:formProt w:val="false"/>
      <w:titlePg/>
      <w:textDirection w:val="lrTb"/>
      <w:docGrid w:type="default" w:linePitch="381"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ourier New">
    <w:charset w:val="00"/>
    <w:family w:val="modern"/>
    <w:pitch w:val="default"/>
  </w:font>
  <w:font w:name="Wingdings">
    <w:charset w:val="02"/>
    <w:family w:val="auto"/>
    <w:pitch w:val="variable"/>
  </w:font>
  <w:font w:name="Tahoma">
    <w:charset w:val="00"/>
    <w:family w:val="swiss"/>
    <w:pitch w:val="variable"/>
  </w:font>
  <w:font w:name="Liberation Sans">
    <w:altName w:val="Arial"/>
    <w:charset w:val="00"/>
    <w:family w:val="swiss"/>
    <w:pitch w:val="variable"/>
  </w:font>
  <w:font w:name="Verdana">
    <w:charset w:val="00"/>
    <w:family w:val="swiss"/>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fldChar w:fldCharType="begin"/>
    </w:r>
    <w:r>
      <w:rPr/>
      <w:instrText xml:space="preserve"> PAGE </w:instrText>
    </w:r>
    <w:r>
      <w:rPr/>
      <w:fldChar w:fldCharType="separate"/>
    </w:r>
    <w:r>
      <w:rPr/>
      <w:t>7</w:t>
    </w:r>
    <w:r>
      <w:rPr/>
      <w:fldChar w:fldCharType="end"/>
    </w:r>
  </w:p>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pStyle w:val="Heading1"/>
      <w:suff w:val="nothing"/>
      <w:lvlText w:val=""/>
      <w:lvlJc w:val="left"/>
      <w:pPr>
        <w:tabs>
          <w:tab w:val="num" w:pos="0"/>
        </w:tabs>
        <w:ind w:left="0" w:hanging="0"/>
      </w:pPr>
    </w:lvl>
    <w:lvl w:ilvl="1">
      <w:start w:val="1"/>
      <w:numFmt w:val="none"/>
      <w:pStyle w:val="Heading2"/>
      <w:suff w:val="nothing"/>
      <w:lvlText w:val=""/>
      <w:lvlJc w:val="left"/>
      <w:pPr>
        <w:tabs>
          <w:tab w:val="num" w:pos="0"/>
        </w:tabs>
        <w:ind w:left="0" w:hanging="0"/>
      </w:pPr>
    </w:lvl>
    <w:lvl w:ilvl="2">
      <w:start w:val="1"/>
      <w:numFmt w:val="none"/>
      <w:pStyle w:val="Heading3"/>
      <w:suff w:val="nothing"/>
      <w:lvlText w:val=""/>
      <w:lvlJc w:val="left"/>
      <w:pPr>
        <w:tabs>
          <w:tab w:val="num" w:pos="0"/>
        </w:tabs>
        <w:ind w:left="0" w:hanging="0"/>
      </w:pPr>
    </w:lvl>
    <w:lvl w:ilvl="3">
      <w:start w:val="1"/>
      <w:numFmt w:val="none"/>
      <w:pStyle w:val="Heading4"/>
      <w:suff w:val="nothing"/>
      <w:lvlText w:val=""/>
      <w:lvlJc w:val="left"/>
      <w:pPr>
        <w:tabs>
          <w:tab w:val="num" w:pos="0"/>
        </w:tabs>
        <w:ind w:left="0" w:hanging="0"/>
      </w:pPr>
    </w:lvl>
    <w:lvl w:ilvl="4">
      <w:start w:val="1"/>
      <w:numFmt w:val="none"/>
      <w:pStyle w:val="Heading5"/>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pStyle w:val="Heading9"/>
      <w:suff w:val="nothing"/>
      <w:lvlText w:val=""/>
      <w:lvlJc w:val="left"/>
      <w:pPr>
        <w:tabs>
          <w:tab w:val="num" w:pos="0"/>
        </w:tabs>
        <w:ind w:left="0" w:hanging="0"/>
      </w:pPr>
    </w:lvl>
  </w:abstractNum>
  <w:num w:numId="1">
    <w:abstractNumId w:val="1"/>
  </w:num>
</w:numbering>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vi-VN" w:eastAsia="zh-CN" w:bidi="hi-IN"/>
      </w:rPr>
    </w:rPrDefault>
    <w:pPrDefault>
      <w:pPr>
        <w:suppressAutoHyphens w:val="true"/>
      </w:pPr>
    </w:pPrDefault>
  </w:docDefaults>
  <w:style w:type="paragraph" w:styleId="Normal">
    <w:name w:val="Normal"/>
    <w:qFormat/>
    <w:pPr>
      <w:widowControl/>
      <w:bidi w:val="0"/>
    </w:pPr>
    <w:rPr>
      <w:rFonts w:ascii="Times New Roman" w:hAnsi="Times New Roman" w:eastAsia="Times New Roman" w:cs="Times New Roman"/>
      <w:color w:val="auto"/>
      <w:sz w:val="28"/>
      <w:szCs w:val="28"/>
      <w:lang w:val="en-US" w:bidi="ar-SA" w:eastAsia="zh-CN"/>
    </w:rPr>
  </w:style>
  <w:style w:type="paragraph" w:styleId="Heading1">
    <w:name w:val="heading 1"/>
    <w:basedOn w:val="Normal"/>
    <w:next w:val="Normal"/>
    <w:qFormat/>
    <w:pPr>
      <w:keepNext w:val="true"/>
      <w:numPr>
        <w:ilvl w:val="0"/>
        <w:numId w:val="1"/>
      </w:numPr>
      <w:spacing w:before="240" w:after="60"/>
      <w:outlineLvl w:val="0"/>
    </w:pPr>
    <w:rPr>
      <w:rFonts w:ascii="Arial" w:hAnsi="Arial" w:cs="Arial"/>
      <w:b/>
      <w:bCs/>
      <w:kern w:val="2"/>
      <w:sz w:val="32"/>
      <w:szCs w:val="32"/>
    </w:rPr>
  </w:style>
  <w:style w:type="paragraph" w:styleId="Heading2">
    <w:name w:val="heading 2"/>
    <w:basedOn w:val="Normal"/>
    <w:next w:val="Normal"/>
    <w:qFormat/>
    <w:pPr>
      <w:keepNext w:val="true"/>
      <w:numPr>
        <w:ilvl w:val="1"/>
        <w:numId w:val="1"/>
      </w:numPr>
      <w:spacing w:before="240" w:after="60"/>
      <w:outlineLvl w:val="1"/>
    </w:pPr>
    <w:rPr>
      <w:rFonts w:ascii="Arial" w:hAnsi="Arial" w:cs="Arial"/>
      <w:b/>
      <w:bCs/>
      <w:i/>
      <w:iCs/>
    </w:rPr>
  </w:style>
  <w:style w:type="paragraph" w:styleId="Heading3">
    <w:name w:val="heading 3"/>
    <w:basedOn w:val="Normal"/>
    <w:next w:val="Normal"/>
    <w:qFormat/>
    <w:pPr>
      <w:keepNext w:val="true"/>
      <w:numPr>
        <w:ilvl w:val="2"/>
        <w:numId w:val="1"/>
      </w:numPr>
      <w:spacing w:before="240" w:after="60"/>
      <w:outlineLvl w:val="2"/>
    </w:pPr>
    <w:rPr>
      <w:rFonts w:ascii="Arial" w:hAnsi="Arial" w:cs="Arial"/>
      <w:b/>
      <w:bCs/>
      <w:sz w:val="26"/>
      <w:szCs w:val="26"/>
    </w:rPr>
  </w:style>
  <w:style w:type="paragraph" w:styleId="Heading4">
    <w:name w:val="heading 4"/>
    <w:basedOn w:val="Normal"/>
    <w:next w:val="Normal"/>
    <w:qFormat/>
    <w:pPr>
      <w:keepNext w:val="true"/>
      <w:numPr>
        <w:ilvl w:val="3"/>
        <w:numId w:val="1"/>
      </w:numPr>
      <w:spacing w:before="240" w:after="60"/>
      <w:outlineLvl w:val="3"/>
    </w:pPr>
    <w:rPr>
      <w:b/>
      <w:bCs/>
    </w:rPr>
  </w:style>
  <w:style w:type="paragraph" w:styleId="Heading5">
    <w:name w:val="heading 5"/>
    <w:basedOn w:val="Normal"/>
    <w:next w:val="Normal"/>
    <w:qFormat/>
    <w:pPr>
      <w:keepNext w:val="true"/>
      <w:widowControl w:val="false"/>
      <w:numPr>
        <w:ilvl w:val="4"/>
        <w:numId w:val="1"/>
      </w:numPr>
      <w:spacing w:lineRule="auto" w:line="300"/>
      <w:ind w:hanging="6" w:left="715" w:right="0"/>
      <w:jc w:val="center"/>
      <w:outlineLvl w:val="4"/>
    </w:pPr>
    <w:rPr>
      <w:b/>
      <w:bCs/>
      <w:color w:val="000000"/>
    </w:rPr>
  </w:style>
  <w:style w:type="paragraph" w:styleId="Heading9">
    <w:name w:val="heading 9"/>
    <w:basedOn w:val="Normal"/>
    <w:next w:val="Normal"/>
    <w:qFormat/>
    <w:pPr>
      <w:keepNext w:val="true"/>
      <w:widowControl w:val="false"/>
      <w:numPr>
        <w:ilvl w:val="8"/>
        <w:numId w:val="1"/>
      </w:numPr>
      <w:spacing w:lineRule="auto" w:line="360"/>
      <w:ind w:hanging="0" w:left="709" w:right="0"/>
      <w:jc w:val="both"/>
      <w:outlineLvl w:val="8"/>
    </w:pPr>
    <w:rPr>
      <w:b/>
      <w:bCs/>
      <w:sz w:val="26"/>
      <w:szCs w:val="26"/>
    </w:rPr>
  </w:style>
  <w:style w:type="character" w:styleId="WW8Num1z0">
    <w:name w:val="WW8Num1z0"/>
    <w:qFormat/>
    <w:rPr/>
  </w:style>
  <w:style w:type="character" w:styleId="WW8Num2z0">
    <w:name w:val="WW8Num2z0"/>
    <w:qFormat/>
    <w:rPr/>
  </w:style>
  <w:style w:type="character" w:styleId="WW8Num3z0">
    <w:name w:val="WW8Num3z0"/>
    <w:qFormat/>
    <w:rPr>
      <w:rFonts w:ascii="Symbol" w:hAnsi="Symbol" w:cs="Symbol"/>
      <w:sz w:val="20"/>
    </w:rPr>
  </w:style>
  <w:style w:type="character" w:styleId="WW8Num3z1">
    <w:name w:val="WW8Num3z1"/>
    <w:qFormat/>
    <w:rPr>
      <w:rFonts w:ascii="Courier New" w:hAnsi="Courier New" w:cs="Courier New"/>
      <w:sz w:val="20"/>
    </w:rPr>
  </w:style>
  <w:style w:type="character" w:styleId="WW8Num3z2">
    <w:name w:val="WW8Num3z2"/>
    <w:qFormat/>
    <w:rPr>
      <w:rFonts w:ascii="Wingdings" w:hAnsi="Wingdings" w:cs="Wingdings"/>
      <w:sz w:val="20"/>
    </w:rPr>
  </w:style>
  <w:style w:type="character" w:styleId="WW8Num6z0">
    <w:name w:val="WW8Num6z0"/>
    <w:qFormat/>
    <w:rPr>
      <w:rFonts w:ascii="Symbol" w:hAnsi="Symbol" w:cs="Symbol"/>
      <w:sz w:val="20"/>
    </w:rPr>
  </w:style>
  <w:style w:type="character" w:styleId="WW8Num6z1">
    <w:name w:val="WW8Num6z1"/>
    <w:qFormat/>
    <w:rPr>
      <w:rFonts w:ascii="Courier New" w:hAnsi="Courier New" w:cs="Courier New"/>
      <w:sz w:val="20"/>
    </w:rPr>
  </w:style>
  <w:style w:type="character" w:styleId="WW8Num6z2">
    <w:name w:val="WW8Num6z2"/>
    <w:qFormat/>
    <w:rPr>
      <w:rFonts w:ascii="Wingdings" w:hAnsi="Wingdings" w:cs="Wingdings"/>
      <w:sz w:val="20"/>
    </w:rPr>
  </w:style>
  <w:style w:type="character" w:styleId="WW8Num7z0">
    <w:name w:val="WW8Num7z0"/>
    <w:qFormat/>
    <w:rPr/>
  </w:style>
  <w:style w:type="character" w:styleId="WW8Num8z0">
    <w:name w:val="WW8Num8z0"/>
    <w:qFormat/>
    <w:rPr/>
  </w:style>
  <w:style w:type="character" w:styleId="WW8Num9z0">
    <w:name w:val="WW8Num9z0"/>
    <w:qFormat/>
    <w:rPr/>
  </w:style>
  <w:style w:type="character" w:styleId="WW8Num10z0">
    <w:name w:val="WW8Num10z0"/>
    <w:qFormat/>
    <w:rPr>
      <w:rFonts w:ascii="Times New Roman" w:hAnsi="Times New Roman" w:eastAsia="Times New Roman" w:cs="Times New Roman"/>
      <w:w w:val="100"/>
      <w:sz w:val="28"/>
      <w:szCs w:val="28"/>
      <w:lang w:val="vi" w:bidi="ar-SA"/>
    </w:rPr>
  </w:style>
  <w:style w:type="character" w:styleId="WW8Num10z1">
    <w:name w:val="WW8Num10z1"/>
    <w:qFormat/>
    <w:rPr>
      <w:lang w:val="vi" w:bidi="ar-SA"/>
    </w:rPr>
  </w:style>
  <w:style w:type="character" w:styleId="WW8Num13z0">
    <w:name w:val="WW8Num13z0"/>
    <w:qFormat/>
    <w:rPr/>
  </w:style>
  <w:style w:type="character" w:styleId="WW8Num15z0">
    <w:name w:val="WW8Num15z0"/>
    <w:qFormat/>
    <w:rPr/>
  </w:style>
  <w:style w:type="character" w:styleId="WW8Num17z0">
    <w:name w:val="WW8Num17z0"/>
    <w:qFormat/>
    <w:rPr/>
  </w:style>
  <w:style w:type="character" w:styleId="WW8Num18z0">
    <w:name w:val="WW8Num18z0"/>
    <w:qFormat/>
    <w:rPr>
      <w:rFonts w:ascii="Symbol" w:hAnsi="Symbol" w:cs="Symbol"/>
      <w:sz w:val="20"/>
    </w:rPr>
  </w:style>
  <w:style w:type="character" w:styleId="WW8Num18z1">
    <w:name w:val="WW8Num18z1"/>
    <w:qFormat/>
    <w:rPr>
      <w:rFonts w:ascii="Courier New" w:hAnsi="Courier New" w:cs="Courier New"/>
      <w:sz w:val="20"/>
    </w:rPr>
  </w:style>
  <w:style w:type="character" w:styleId="WW8Num18z2">
    <w:name w:val="WW8Num18z2"/>
    <w:qFormat/>
    <w:rPr>
      <w:rFonts w:ascii="Wingdings" w:hAnsi="Wingdings" w:cs="Wingdings"/>
      <w:sz w:val="20"/>
    </w:rPr>
  </w:style>
  <w:style w:type="character" w:styleId="WW8Num19z0">
    <w:name w:val="WW8Num19z0"/>
    <w:qFormat/>
    <w:rPr/>
  </w:style>
  <w:style w:type="character" w:styleId="WW8Num21z0">
    <w:name w:val="WW8Num21z0"/>
    <w:qFormat/>
    <w:rPr/>
  </w:style>
  <w:style w:type="character" w:styleId="WW8Num22z0">
    <w:name w:val="WW8Num22z0"/>
    <w:qFormat/>
    <w:rPr/>
  </w:style>
  <w:style w:type="character" w:styleId="WW8Num23z0">
    <w:name w:val="WW8Num23z0"/>
    <w:qFormat/>
    <w:rPr>
      <w:rFonts w:ascii="Symbol" w:hAnsi="Symbol" w:cs="Symbol"/>
      <w:sz w:val="20"/>
    </w:rPr>
  </w:style>
  <w:style w:type="character" w:styleId="WW8Num23z1">
    <w:name w:val="WW8Num23z1"/>
    <w:qFormat/>
    <w:rPr>
      <w:rFonts w:ascii="Courier New" w:hAnsi="Courier New" w:cs="Courier New"/>
      <w:sz w:val="20"/>
    </w:rPr>
  </w:style>
  <w:style w:type="character" w:styleId="WW8Num23z2">
    <w:name w:val="WW8Num23z2"/>
    <w:qFormat/>
    <w:rPr>
      <w:rFonts w:ascii="Wingdings" w:hAnsi="Wingdings" w:cs="Wingdings"/>
      <w:sz w:val="20"/>
    </w:rPr>
  </w:style>
  <w:style w:type="character" w:styleId="WW8Num24z1">
    <w:name w:val="WW8Num24z1"/>
    <w:qFormat/>
    <w:rPr>
      <w:rFonts w:ascii="Courier New" w:hAnsi="Courier New" w:cs="Courier New"/>
      <w:sz w:val="20"/>
    </w:rPr>
  </w:style>
  <w:style w:type="character" w:styleId="WW8Num25z0">
    <w:name w:val="WW8Num25z0"/>
    <w:qFormat/>
    <w:rPr/>
  </w:style>
  <w:style w:type="character" w:styleId="WW8Num26z0">
    <w:name w:val="WW8Num26z0"/>
    <w:qFormat/>
    <w:rPr/>
  </w:style>
  <w:style w:type="character" w:styleId="WW8Num27z0">
    <w:name w:val="WW8Num27z0"/>
    <w:qFormat/>
    <w:rPr/>
  </w:style>
  <w:style w:type="character" w:styleId="WW8Num27z1">
    <w:name w:val="WW8Num27z1"/>
    <w:qFormat/>
    <w:rPr>
      <w:rFonts w:ascii="Times New Roman" w:hAnsi="Times New Roman" w:eastAsia="Times New Roman" w:cs="Times New Roman"/>
    </w:rPr>
  </w:style>
  <w:style w:type="character" w:styleId="WW8Num28z0">
    <w:name w:val="WW8Num28z0"/>
    <w:qFormat/>
    <w:rPr>
      <w:rFonts w:ascii="Symbol" w:hAnsi="Symbol" w:cs="Symbol"/>
      <w:sz w:val="20"/>
    </w:rPr>
  </w:style>
  <w:style w:type="character" w:styleId="WW8Num28z1">
    <w:name w:val="WW8Num28z1"/>
    <w:qFormat/>
    <w:rPr>
      <w:rFonts w:ascii="Courier New" w:hAnsi="Courier New" w:cs="Courier New"/>
      <w:sz w:val="20"/>
    </w:rPr>
  </w:style>
  <w:style w:type="character" w:styleId="WW8Num28z2">
    <w:name w:val="WW8Num28z2"/>
    <w:qFormat/>
    <w:rPr>
      <w:rFonts w:ascii="Wingdings" w:hAnsi="Wingdings" w:cs="Wingdings"/>
      <w:sz w:val="20"/>
    </w:rPr>
  </w:style>
  <w:style w:type="character" w:styleId="WW8Num29z0">
    <w:name w:val="WW8Num29z0"/>
    <w:qFormat/>
    <w:rPr/>
  </w:style>
  <w:style w:type="character" w:styleId="WW8Num29z2">
    <w:name w:val="WW8Num29z2"/>
    <w:qFormat/>
    <w:rPr>
      <w:rFonts w:ascii="Times New Roman" w:hAnsi="Times New Roman" w:eastAsia="Times New Roman" w:cs="Times New Roman"/>
    </w:rPr>
  </w:style>
  <w:style w:type="character" w:styleId="WW8Num30z0">
    <w:name w:val="WW8Num30z0"/>
    <w:qFormat/>
    <w:rPr>
      <w:b w:val="false"/>
    </w:rPr>
  </w:style>
  <w:style w:type="character" w:styleId="WW8Num32z0">
    <w:name w:val="WW8Num32z0"/>
    <w:qFormat/>
    <w:rPr>
      <w:rFonts w:ascii="Symbol" w:hAnsi="Symbol" w:cs="Symbol"/>
      <w:sz w:val="20"/>
    </w:rPr>
  </w:style>
  <w:style w:type="character" w:styleId="WW8Num32z1">
    <w:name w:val="WW8Num32z1"/>
    <w:qFormat/>
    <w:rPr>
      <w:rFonts w:ascii="Courier New" w:hAnsi="Courier New" w:cs="Courier New"/>
      <w:sz w:val="20"/>
    </w:rPr>
  </w:style>
  <w:style w:type="character" w:styleId="WW8Num32z2">
    <w:name w:val="WW8Num32z2"/>
    <w:qFormat/>
    <w:rPr>
      <w:rFonts w:ascii="Wingdings" w:hAnsi="Wingdings" w:cs="Wingdings"/>
      <w:sz w:val="20"/>
    </w:rPr>
  </w:style>
  <w:style w:type="character" w:styleId="WW8Num33z0">
    <w:name w:val="WW8Num33z0"/>
    <w:qFormat/>
    <w:rPr/>
  </w:style>
  <w:style w:type="character" w:styleId="WW8Num34z0">
    <w:name w:val="WW8Num34z0"/>
    <w:qFormat/>
    <w:rPr/>
  </w:style>
  <w:style w:type="character" w:styleId="WW8Num35z0">
    <w:name w:val="WW8Num35z0"/>
    <w:qFormat/>
    <w:rPr>
      <w:rFonts w:ascii="Times New Roman" w:hAnsi="Times New Roman" w:eastAsia="Calibri" w:cs="Times New Roman"/>
      <w:b/>
    </w:rPr>
  </w:style>
  <w:style w:type="character" w:styleId="WW8Num35z1">
    <w:name w:val="WW8Num35z1"/>
    <w:qFormat/>
    <w:rPr>
      <w:rFonts w:ascii="Courier New" w:hAnsi="Courier New" w:cs="Courier New"/>
    </w:rPr>
  </w:style>
  <w:style w:type="character" w:styleId="WW8Num35z2">
    <w:name w:val="WW8Num35z2"/>
    <w:qFormat/>
    <w:rPr>
      <w:rFonts w:ascii="Wingdings" w:hAnsi="Wingdings" w:cs="Wingdings"/>
    </w:rPr>
  </w:style>
  <w:style w:type="character" w:styleId="WW8Num35z3">
    <w:name w:val="WW8Num35z3"/>
    <w:qFormat/>
    <w:rPr>
      <w:rFonts w:ascii="Symbol" w:hAnsi="Symbol" w:cs="Symbol"/>
    </w:rPr>
  </w:style>
  <w:style w:type="character" w:styleId="WW8Num36z0">
    <w:name w:val="WW8Num36z0"/>
    <w:qFormat/>
    <w:rPr/>
  </w:style>
  <w:style w:type="character" w:styleId="WW8Num37z0">
    <w:name w:val="WW8Num37z0"/>
    <w:qFormat/>
    <w:rPr>
      <w:rFonts w:ascii="Times New Roman" w:hAnsi="Times New Roman" w:eastAsia="Times New Roman" w:cs="Times New Roman"/>
      <w:strike w:val="false"/>
      <w:dstrike w:val="false"/>
    </w:rPr>
  </w:style>
  <w:style w:type="character" w:styleId="WW8Num39z1">
    <w:name w:val="WW8Num39z1"/>
    <w:qFormat/>
    <w:rPr>
      <w:rFonts w:ascii="Courier New" w:hAnsi="Courier New" w:cs="Courier New"/>
      <w:sz w:val="20"/>
    </w:rPr>
  </w:style>
  <w:style w:type="character" w:styleId="WW8Num41z0">
    <w:name w:val="WW8Num41z0"/>
    <w:qFormat/>
    <w:rPr/>
  </w:style>
  <w:style w:type="character" w:styleId="WW8Num42z1">
    <w:name w:val="WW8Num42z1"/>
    <w:qFormat/>
    <w:rPr>
      <w:rFonts w:ascii="Courier New" w:hAnsi="Courier New" w:cs="Courier New"/>
      <w:sz w:val="20"/>
    </w:rPr>
  </w:style>
  <w:style w:type="character" w:styleId="WW8Num43z0">
    <w:name w:val="WW8Num43z0"/>
    <w:qFormat/>
    <w:rPr/>
  </w:style>
  <w:style w:type="character" w:styleId="WW8Num45z0">
    <w:name w:val="WW8Num45z0"/>
    <w:qFormat/>
    <w:rPr/>
  </w:style>
  <w:style w:type="character" w:styleId="WW8Num46z0">
    <w:name w:val="WW8Num46z0"/>
    <w:qFormat/>
    <w:rPr>
      <w:strike w:val="false"/>
      <w:dstrike w:val="false"/>
    </w:rPr>
  </w:style>
  <w:style w:type="character" w:styleId="DefaultParagraphFont">
    <w:name w:val="Default Paragraph Font"/>
    <w:qFormat/>
    <w:rPr/>
  </w:style>
  <w:style w:type="character" w:styleId="PageNumber">
    <w:name w:val="page number"/>
    <w:basedOn w:val="DefaultParagraphFont"/>
    <w:rPr/>
  </w:style>
  <w:style w:type="character" w:styleId="apple-converted-space">
    <w:name w:val="apple-converted-space"/>
    <w:basedOn w:val="DefaultParagraphFont"/>
    <w:qFormat/>
    <w:rPr/>
  </w:style>
  <w:style w:type="character" w:styleId="HeaderChar">
    <w:name w:val="Header Char"/>
    <w:qFormat/>
    <w:rPr>
      <w:sz w:val="28"/>
      <w:szCs w:val="28"/>
    </w:rPr>
  </w:style>
  <w:style w:type="character" w:styleId="FooterChar">
    <w:name w:val="Footer Char"/>
    <w:qFormat/>
    <w:rPr>
      <w:color w:val="000000"/>
      <w:sz w:val="26"/>
      <w:szCs w:val="26"/>
    </w:rPr>
  </w:style>
  <w:style w:type="character" w:styleId="BalloonTextChar">
    <w:name w:val="Balloon Text Char"/>
    <w:qFormat/>
    <w:rPr>
      <w:rFonts w:ascii="Tahoma" w:hAnsi="Tahoma" w:cs="Tahoma"/>
      <w:sz w:val="16"/>
      <w:szCs w:val="16"/>
    </w:rPr>
  </w:style>
  <w:style w:type="character" w:styleId="BodyTextChar">
    <w:name w:val="Body Text Char"/>
    <w:qFormat/>
    <w:rPr>
      <w:sz w:val="28"/>
      <w:szCs w:val="28"/>
    </w:rPr>
  </w:style>
  <w:style w:type="character" w:styleId="CommentReference">
    <w:name w:val="Comment Reference"/>
    <w:qFormat/>
    <w:rPr>
      <w:sz w:val="16"/>
      <w:szCs w:val="16"/>
    </w:rPr>
  </w:style>
  <w:style w:type="character" w:styleId="CommentTextChar">
    <w:name w:val="Comment Text Char"/>
    <w:basedOn w:val="DefaultParagraphFont"/>
    <w:qFormat/>
    <w:rPr/>
  </w:style>
  <w:style w:type="character" w:styleId="CommentSubjectChar">
    <w:name w:val="Comment Subject Char"/>
    <w:qFormat/>
    <w:rPr>
      <w:b/>
      <w:bCs/>
    </w:rPr>
  </w:style>
  <w:style w:type="character" w:styleId="BodyTextIndent3Char">
    <w:name w:val="Body Text Indent 3 Char"/>
    <w:qFormat/>
    <w:rPr>
      <w:color w:val="000000"/>
      <w:sz w:val="28"/>
      <w:szCs w:val="28"/>
    </w:rPr>
  </w:style>
  <w:style w:type="character" w:styleId="BodyText2Char">
    <w:name w:val="Body Text 2 Char"/>
    <w:qFormat/>
    <w:rPr>
      <w:b/>
      <w:bCs/>
      <w:sz w:val="28"/>
      <w:szCs w:val="28"/>
    </w:rPr>
  </w:style>
  <w:style w:type="character" w:styleId="Hyperlink">
    <w:name w:val="Hyperlink"/>
    <w:rPr>
      <w:color w:val="0000FF"/>
      <w:u w:val="single"/>
    </w:rPr>
  </w:style>
  <w:style w:type="character" w:styleId="NormalWebChar">
    <w:name w:val="Normal (Web) Char"/>
    <w:qFormat/>
    <w:rPr>
      <w:sz w:val="24"/>
      <w:szCs w:val="24"/>
    </w:rPr>
  </w:style>
  <w:style w:type="character" w:styleId="NormalWebChar1">
    <w:name w:val="Normal (Web) Char1"/>
    <w:qFormat/>
    <w:rPr>
      <w:sz w:val="24"/>
      <w:szCs w:val="24"/>
    </w:rPr>
  </w:style>
  <w:style w:type="character" w:styleId="Emphasis">
    <w:name w:val="Emphasis"/>
    <w:qFormat/>
    <w:rPr>
      <w:i/>
      <w:iCs/>
    </w:rPr>
  </w:style>
  <w:style w:type="character" w:styleId="Strong">
    <w:name w:val="Strong"/>
    <w:qFormat/>
    <w:rPr>
      <w:b/>
      <w:bCs/>
    </w:rPr>
  </w:style>
  <w:style w:type="character" w:styleId="text">
    <w:name w:val="text"/>
    <w:qFormat/>
    <w:rPr/>
  </w:style>
  <w:style w:type="character" w:styleId="card-send-timesendtime">
    <w:name w:val="card-send-time__sendtime"/>
    <w:qFormat/>
    <w:rPr/>
  </w:style>
  <w:style w:type="character" w:styleId="emoji-sizer">
    <w:name w:val="emoji-sizer"/>
    <w:qFormat/>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widowControl w:val="false"/>
      <w:spacing w:before="40" w:after="0"/>
      <w:jc w:val="both"/>
    </w:pPr>
    <w:rPr>
      <w:lang w:val="vi-VN"/>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andFooter">
    <w:name w:val="Header and Footer"/>
    <w:basedOn w:val="Normal"/>
    <w:qFormat/>
    <w:pPr>
      <w:suppressLineNumbers/>
      <w:tabs>
        <w:tab w:val="clear" w:pos="720"/>
        <w:tab w:val="center" w:pos="4819" w:leader="none"/>
        <w:tab w:val="right" w:pos="9638" w:leader="none"/>
      </w:tabs>
    </w:pPr>
    <w:rPr/>
  </w:style>
  <w:style w:type="paragraph" w:styleId="Footer">
    <w:name w:val="footer"/>
    <w:basedOn w:val="Normal"/>
    <w:pPr>
      <w:widowControl w:val="false"/>
      <w:tabs>
        <w:tab w:val="clear" w:pos="720"/>
        <w:tab w:val="center" w:pos="4320" w:leader="none"/>
        <w:tab w:val="right" w:pos="8640" w:leader="none"/>
      </w:tabs>
    </w:pPr>
    <w:rPr>
      <w:color w:val="000000"/>
      <w:sz w:val="26"/>
      <w:szCs w:val="26"/>
      <w:lang w:val="vi-VN"/>
    </w:rPr>
  </w:style>
  <w:style w:type="paragraph" w:styleId="BodyTextIndent3">
    <w:name w:val="Body Text Indent 3"/>
    <w:basedOn w:val="Normal"/>
    <w:qFormat/>
    <w:pPr>
      <w:widowControl w:val="false"/>
      <w:spacing w:lineRule="auto" w:line="360" w:before="120" w:after="240"/>
      <w:ind w:hanging="0" w:left="709" w:right="0"/>
      <w:jc w:val="both"/>
    </w:pPr>
    <w:rPr>
      <w:color w:val="000000"/>
      <w:lang w:val="vi-VN"/>
    </w:rPr>
  </w:style>
  <w:style w:type="paragraph" w:styleId="BodyTextIndent">
    <w:name w:val="Body Text Indent"/>
    <w:basedOn w:val="Normal"/>
    <w:pPr>
      <w:ind w:firstLine="709" w:left="0" w:right="0"/>
    </w:pPr>
    <w:rPr>
      <w:b/>
      <w:bCs/>
      <w:i/>
      <w:iCs/>
      <w:sz w:val="30"/>
      <w:szCs w:val="30"/>
    </w:rPr>
  </w:style>
  <w:style w:type="paragraph" w:styleId="BodyText2">
    <w:name w:val="Body Text 2"/>
    <w:basedOn w:val="Normal"/>
    <w:qFormat/>
    <w:pPr>
      <w:spacing w:before="240" w:after="0"/>
      <w:jc w:val="both"/>
    </w:pPr>
    <w:rPr>
      <w:b/>
      <w:bCs/>
    </w:rPr>
  </w:style>
  <w:style w:type="paragraph" w:styleId="Header">
    <w:name w:val="header"/>
    <w:basedOn w:val="Normal"/>
    <w:pPr>
      <w:tabs>
        <w:tab w:val="clear" w:pos="720"/>
        <w:tab w:val="center" w:pos="4680" w:leader="none"/>
        <w:tab w:val="right" w:pos="9360" w:leader="none"/>
      </w:tabs>
    </w:pPr>
    <w:rPr>
      <w:lang w:val="vi-VN"/>
    </w:rPr>
  </w:style>
  <w:style w:type="paragraph" w:styleId="BalloonText">
    <w:name w:val="Balloon Text"/>
    <w:basedOn w:val="Normal"/>
    <w:qFormat/>
    <w:pPr/>
    <w:rPr>
      <w:rFonts w:ascii="Tahoma" w:hAnsi="Tahoma" w:cs="Tahoma"/>
      <w:sz w:val="16"/>
      <w:szCs w:val="16"/>
      <w:lang w:val="vi-VN"/>
    </w:rPr>
  </w:style>
  <w:style w:type="paragraph" w:styleId="NormalWeb">
    <w:name w:val="Normal (Web)"/>
    <w:basedOn w:val="Normal"/>
    <w:qFormat/>
    <w:pPr>
      <w:spacing w:before="280" w:after="280"/>
    </w:pPr>
    <w:rPr>
      <w:sz w:val="24"/>
      <w:szCs w:val="24"/>
    </w:rPr>
  </w:style>
  <w:style w:type="paragraph" w:styleId="Char">
    <w:name w:val=" Char"/>
    <w:basedOn w:val="Normal"/>
    <w:qFormat/>
    <w:pPr>
      <w:spacing w:lineRule="exact" w:line="240" w:before="0" w:after="160"/>
    </w:pPr>
    <w:rPr>
      <w:rFonts w:ascii="Verdana" w:hAnsi="Verdana" w:cs="Verdana"/>
      <w:sz w:val="20"/>
      <w:szCs w:val="20"/>
    </w:rPr>
  </w:style>
  <w:style w:type="paragraph" w:styleId="CommentText">
    <w:name w:val="Comment Text"/>
    <w:basedOn w:val="Normal"/>
    <w:qFormat/>
    <w:pPr/>
    <w:rPr>
      <w:sz w:val="20"/>
      <w:szCs w:val="20"/>
    </w:rPr>
  </w:style>
  <w:style w:type="paragraph" w:styleId="CommentSubject">
    <w:name w:val="Comment Subject"/>
    <w:basedOn w:val="CommentText"/>
    <w:next w:val="CommentText"/>
    <w:qFormat/>
    <w:pPr/>
    <w:rPr>
      <w:b/>
      <w:bCs/>
      <w:lang w:val="vi-VN"/>
    </w:rPr>
  </w:style>
  <w:style w:type="paragraph" w:styleId="Revision">
    <w:name w:val="Revision"/>
    <w:qFormat/>
    <w:pPr>
      <w:widowControl/>
      <w:bidi w:val="0"/>
    </w:pPr>
    <w:rPr>
      <w:rFonts w:ascii="Times New Roman" w:hAnsi="Times New Roman" w:eastAsia="Times New Roman" w:cs="Times New Roman"/>
      <w:color w:val="auto"/>
      <w:sz w:val="28"/>
      <w:szCs w:val="28"/>
      <w:lang w:val="en-US" w:bidi="ar-SA" w:eastAsia="zh-CN"/>
    </w:rPr>
  </w:style>
  <w:style w:type="paragraph" w:styleId="ListParagraph">
    <w:name w:val="List Paragraph"/>
    <w:basedOn w:val="Normal"/>
    <w:qFormat/>
    <w:pPr>
      <w:widowControl w:val="false"/>
      <w:autoSpaceDE w:val="false"/>
      <w:spacing w:before="116" w:after="0"/>
      <w:ind w:firstLine="719" w:left="682" w:right="0"/>
      <w:jc w:val="both"/>
    </w:pPr>
    <w:rPr>
      <w:sz w:val="22"/>
      <w:szCs w:val="22"/>
      <w:lang w:val="vi"/>
    </w:rPr>
  </w:style>
  <w:style w:type="paragraph" w:styleId="zlae0wtextbase">
    <w:name w:val="zlae0w_textbase"/>
    <w:basedOn w:val="Normal"/>
    <w:qFormat/>
    <w:pPr>
      <w:spacing w:before="280" w:after="280"/>
    </w:pPr>
    <w:rPr>
      <w:sz w:val="24"/>
      <w:szCs w:val="24"/>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 w:type="numbering" w:styleId="WW8Num12">
    <w:name w:val="WW8Num12"/>
    <w:qFormat/>
  </w:style>
  <w:style w:type="numbering" w:styleId="WW8Num13">
    <w:name w:val="WW8Num13"/>
    <w:qFormat/>
  </w:style>
  <w:style w:type="numbering" w:styleId="WW8Num14">
    <w:name w:val="WW8Num14"/>
    <w:qFormat/>
  </w:style>
  <w:style w:type="numbering" w:styleId="WW8Num15">
    <w:name w:val="WW8Num15"/>
    <w:qFormat/>
  </w:style>
  <w:style w:type="numbering" w:styleId="WW8Num16">
    <w:name w:val="WW8Num16"/>
    <w:qFormat/>
  </w:style>
  <w:style w:type="numbering" w:styleId="WW8Num17">
    <w:name w:val="WW8Num17"/>
    <w:qFormat/>
  </w:style>
  <w:style w:type="numbering" w:styleId="WW8Num18">
    <w:name w:val="WW8Num18"/>
    <w:qFormat/>
  </w:style>
  <w:style w:type="numbering" w:styleId="WW8Num19">
    <w:name w:val="WW8Num19"/>
    <w:qFormat/>
  </w:style>
  <w:style w:type="numbering" w:styleId="WW8Num20">
    <w:name w:val="WW8Num20"/>
    <w:qFormat/>
  </w:style>
  <w:style w:type="numbering" w:styleId="WW8Num21">
    <w:name w:val="WW8Num21"/>
    <w:qFormat/>
  </w:style>
  <w:style w:type="numbering" w:styleId="WW8Num22">
    <w:name w:val="WW8Num22"/>
    <w:qFormat/>
  </w:style>
  <w:style w:type="numbering" w:styleId="WW8Num23">
    <w:name w:val="WW8Num23"/>
    <w:qFormat/>
  </w:style>
  <w:style w:type="numbering" w:styleId="WW8Num24">
    <w:name w:val="WW8Num24"/>
    <w:qFormat/>
  </w:style>
  <w:style w:type="numbering" w:styleId="WW8Num25">
    <w:name w:val="WW8Num25"/>
    <w:qFormat/>
  </w:style>
  <w:style w:type="numbering" w:styleId="WW8Num26">
    <w:name w:val="WW8Num26"/>
    <w:qFormat/>
  </w:style>
  <w:style w:type="numbering" w:styleId="WW8Num27">
    <w:name w:val="WW8Num27"/>
    <w:qFormat/>
  </w:style>
  <w:style w:type="numbering" w:styleId="WW8Num28">
    <w:name w:val="WW8Num28"/>
    <w:qFormat/>
  </w:style>
  <w:style w:type="numbering" w:styleId="WW8Num29">
    <w:name w:val="WW8Num29"/>
    <w:qFormat/>
  </w:style>
  <w:style w:type="numbering" w:styleId="WW8Num30">
    <w:name w:val="WW8Num30"/>
    <w:qFormat/>
  </w:style>
  <w:style w:type="numbering" w:styleId="WW8Num31">
    <w:name w:val="WW8Num31"/>
    <w:qFormat/>
  </w:style>
  <w:style w:type="numbering" w:styleId="WW8Num32">
    <w:name w:val="WW8Num32"/>
    <w:qFormat/>
  </w:style>
  <w:style w:type="numbering" w:styleId="WW8Num33">
    <w:name w:val="WW8Num33"/>
    <w:qFormat/>
  </w:style>
  <w:style w:type="numbering" w:styleId="WW8Num34">
    <w:name w:val="WW8Num34"/>
    <w:qFormat/>
  </w:style>
  <w:style w:type="numbering" w:styleId="WW8Num35">
    <w:name w:val="WW8Num35"/>
    <w:qFormat/>
  </w:style>
  <w:style w:type="numbering" w:styleId="WW8Num36">
    <w:name w:val="WW8Num36"/>
    <w:qFormat/>
  </w:style>
  <w:style w:type="numbering" w:styleId="WW8Num37">
    <w:name w:val="WW8Num37"/>
    <w:qFormat/>
  </w:style>
  <w:style w:type="numbering" w:styleId="WW8Num38">
    <w:name w:val="WW8Num38"/>
    <w:qFormat/>
  </w:style>
  <w:style w:type="numbering" w:styleId="WW8Num39">
    <w:name w:val="WW8Num39"/>
    <w:qFormat/>
  </w:style>
  <w:style w:type="numbering" w:styleId="WW8Num40">
    <w:name w:val="WW8Num40"/>
    <w:qFormat/>
  </w:style>
  <w:style w:type="numbering" w:styleId="WW8Num41">
    <w:name w:val="WW8Num41"/>
    <w:qFormat/>
  </w:style>
  <w:style w:type="numbering" w:styleId="WW8Num42">
    <w:name w:val="WW8Num42"/>
    <w:qFormat/>
  </w:style>
  <w:style w:type="numbering" w:styleId="WW8Num43">
    <w:name w:val="WW8Num43"/>
    <w:qFormat/>
  </w:style>
  <w:style w:type="numbering" w:styleId="WW8Num44">
    <w:name w:val="WW8Num44"/>
    <w:qFormat/>
  </w:style>
  <w:style w:type="numbering" w:styleId="WW8Num45">
    <w:name w:val="WW8Num45"/>
    <w:qFormat/>
  </w:style>
  <w:style w:type="numbering" w:styleId="WW8Num46">
    <w:name w:val="WW8Num46"/>
    <w:qFormat/>
  </w:style>
  <w:style w:type="numbering" w:styleId="WW8Num47">
    <w:name w:val="WW8Num47"/>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download.vn/luat-vien-chuc-so-58-2010-qh12-25119" TargetMode="External"/><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TotalTime>
  <Application>LibreOffice/26.2.4.2$Windows_X86_64 LibreOffice_project/0229ac93fcf0d7cbc6376066c6f35021cef002dc</Application>
  <AppVersion>15.0000</AppVersion>
  <Pages>7</Pages>
  <Words>3554</Words>
  <Characters>12551</Characters>
  <CharactersWithSpaces>16045</CharactersWithSpaces>
  <Paragraphs>115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2026-07-06T18:07:00Z</dcterms:created>
  <dc:creator>Wellcome</dc:creator>
  <dc:description/>
  <cp:keywords/>
  <dc:language>vi-VN</dc:language>
  <cp:lastModifiedBy>Hằng Cấn</cp:lastModifiedBy>
  <cp:lastPrinted>2026-04-09T10:07:00Z</cp:lastPrinted>
  <dcterms:modified xsi:type="dcterms:W3CDTF">2026-07-06T18:07:00Z</dcterms:modified>
  <cp:revision>2</cp:revision>
  <dc:subject/>
  <dc:title>BỘ GIÁO DỤC VÀ ĐÀO TẠO</dc:title>
</cp:coreProperties>
</file>