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styles.xml" ContentType="application/vnd.openxmlformats-officedocument.wordprocessingml.styles+xml"/>
  <Override PartName="/word/header1.xml" ContentType="application/vnd.openxmlformats-officedocument.wordprocessingml.header+xml"/>
  <Override PartName="/word/footnotes.xml" ContentType="application/vnd.openxmlformats-officedocument.wordprocessingml.footnotes+xml"/>
  <Override PartName="/word/settings.xml" ContentType="application/vnd.openxmlformats-officedocument.wordprocessingml.settings+xml"/>
  <Override PartName="/word/fontTable.xml" ContentType="application/vnd.openxmlformats-officedocument.wordprocessingml.fontTable+xml"/>
  <Override PartName="/word/header2.xml" ContentType="application/vnd.openxmlformats-officedocument.wordprocessingml.header+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tbl>
      <w:tblPr>
        <w:tblStyle w:val="TableGrid"/>
        <w:tblW w:w="5000" w:type="pct"/>
        <w:jc w:val="center"/>
        <w:tblInd w:w="0" w:type="dxa"/>
        <w:tblLayout w:type="fixed"/>
        <w:tblCellMar>
          <w:top w:w="0" w:type="dxa"/>
          <w:left w:w="108" w:type="dxa"/>
          <w:bottom w:w="0" w:type="dxa"/>
          <w:right w:w="108" w:type="dxa"/>
        </w:tblCellMar>
        <w:tblLook w:val="01e0" w:firstRow="1" w:noVBand="0" w:lastRow="1" w:firstColumn="1" w:lastColumn="1" w:noHBand="0"/>
      </w:tblPr>
      <w:tblGrid>
        <w:gridCol w:w="4259"/>
        <w:gridCol w:w="4812"/>
      </w:tblGrid>
      <w:tr>
        <w:trPr/>
        <w:tc>
          <w:tcPr>
            <w:tcW w:w="4259" w:type="dxa"/>
            <w:tcBorders>
              <w:top w:val="nil"/>
              <w:left w:val="nil"/>
              <w:bottom w:val="nil"/>
              <w:right w:val="nil"/>
            </w:tcBorders>
          </w:tcPr>
          <w:p>
            <w:pPr>
              <w:pStyle w:val="Normal"/>
              <w:spacing w:before="0" w:after="0"/>
              <w:jc w:val="center"/>
              <w:rPr>
                <w:rFonts w:ascii="Times New Roman" w:hAnsi="Times New Roman" w:cs="Times New Roman"/>
                <w:b/>
                <w:color w:val="auto"/>
                <w:sz w:val="26"/>
                <w:szCs w:val="26"/>
                <w:lang w:val="en-US"/>
              </w:rPr>
            </w:pPr>
            <w:r>
              <w:rPr>
                <w:rFonts w:cs="Times New Roman" w:ascii="Times New Roman" w:hAnsi="Times New Roman"/>
                <w:b/>
                <w:color w:val="auto"/>
                <w:sz w:val="26"/>
                <w:szCs w:val="26"/>
                <w:lang w:val="en-US" w:bidi="ar-SA"/>
              </w:rPr>
              <w:t>BỘ NÔNG NGHIỆP VÀ MÔI TRƯỜNG</w:t>
            </w:r>
          </w:p>
          <w:p>
            <w:pPr>
              <w:pStyle w:val="Normal"/>
              <w:spacing w:before="600" w:after="0"/>
              <w:jc w:val="center"/>
              <w:rPr>
                <w:rFonts w:ascii="Times New Roman" w:hAnsi="Times New Roman" w:cs="Times New Roman"/>
                <w:color w:val="auto"/>
                <w:sz w:val="28"/>
                <w:szCs w:val="28"/>
                <w:lang w:val="en-US"/>
              </w:rPr>
            </w:pPr>
            <w:r>
              <mc:AlternateContent>
                <mc:Choice Requires="wps">
                  <w:drawing>
                    <wp:anchor distT="0" distB="19050" distL="0" distR="28575" simplePos="0" relativeHeight="2" behindDoc="0" locked="0" layoutInCell="1" allowOverlap="1" wp14:anchorId="286BE4B2">
                      <wp:simplePos x="0" y="0"/>
                      <wp:positionH relativeFrom="column">
                        <wp:posOffset>984250</wp:posOffset>
                      </wp:positionH>
                      <wp:positionV relativeFrom="paragraph">
                        <wp:posOffset>55880</wp:posOffset>
                      </wp:positionV>
                      <wp:extent cx="1247775" cy="0"/>
                      <wp:effectExtent l="0" t="3810" r="635" b="3810"/>
                      <wp:wrapNone/>
                      <wp:docPr id="1" name="Straight Connector 2"/>
                      <a:graphic xmlns:a="http://schemas.openxmlformats.org/drawingml/2006/main">
                        <a:graphicData uri="http://schemas.microsoft.com/office/word/2010/wordprocessingShape">
                          <wps:wsp>
                            <wps:cNvSpPr/>
                            <wps:spPr>
                              <a:xfrm>
                                <a:off x="0" y="0"/>
                                <a:ext cx="1247760" cy="0"/>
                              </a:xfrm>
                              <a:prstGeom prst="line">
                                <a:avLst/>
                              </a:prstGeom>
                              <a:ln>
                                <a:solidFill>
                                  <a:srgbClr val="000000"/>
                                </a:solidFill>
                              </a:ln>
                            </wps:spPr>
                            <wps:style>
                              <a:lnRef idx="1">
                                <a:schemeClr val="dk1"/>
                              </a:lnRef>
                              <a:fillRef idx="0">
                                <a:schemeClr val="dk1"/>
                              </a:fillRef>
                              <a:effectRef idx="0">
                                <a:schemeClr val="dk1"/>
                              </a:effectRef>
                              <a:fontRef idx="minor"/>
                            </wps:style>
                            <wps:bodyPr/>
                          </wps:wsp>
                        </a:graphicData>
                      </a:graphic>
                    </wp:anchor>
                  </w:drawing>
                </mc:Choice>
                <mc:Fallback>
                  <w:pict>
                    <v:line id="shape_0" from="77.5pt,4.4pt" to="175.7pt,4.4pt" stroked="t" o:allowincell="t" style="position:absolute" wp14:anchorId="286BE4B2">
                      <v:stroke color="black" weight="6480" joinstyle="miter" endcap="flat"/>
                      <v:fill o:detectmouseclick="t" on="false"/>
                      <w10:wrap type="none"/>
                    </v:line>
                  </w:pict>
                </mc:Fallback>
              </mc:AlternateContent>
            </w:r>
            <w:r>
              <w:rPr>
                <w:rFonts w:cs="Times New Roman" w:ascii="Times New Roman" w:hAnsi="Times New Roman"/>
                <w:bCs/>
                <w:color w:val="auto"/>
                <w:sz w:val="28"/>
                <w:szCs w:val="28"/>
                <w:lang w:bidi="ar-SA"/>
              </w:rPr>
              <w:t>Số:</w:t>
            </w:r>
            <w:r>
              <w:rPr>
                <w:rFonts w:cs="Times New Roman" w:ascii="Times New Roman" w:hAnsi="Times New Roman"/>
                <w:bCs/>
                <w:color w:val="auto"/>
                <w:sz w:val="28"/>
                <w:szCs w:val="28"/>
                <w:lang w:val="en-US" w:bidi="ar-SA"/>
              </w:rPr>
              <w:t xml:space="preserve">        </w:t>
            </w:r>
            <w:r>
              <w:rPr>
                <w:rFonts w:cs="Times New Roman" w:ascii="Times New Roman" w:hAnsi="Times New Roman"/>
                <w:bCs/>
                <w:color w:val="auto"/>
                <w:sz w:val="28"/>
                <w:szCs w:val="28"/>
                <w:lang w:bidi="ar-SA"/>
              </w:rPr>
              <w:t>/</w:t>
            </w:r>
            <w:r>
              <w:rPr>
                <w:rFonts w:cs="Times New Roman" w:ascii="Times New Roman" w:hAnsi="Times New Roman"/>
                <w:color w:val="auto"/>
                <w:sz w:val="28"/>
                <w:szCs w:val="28"/>
                <w:lang w:val="en-US" w:bidi="ar-SA"/>
              </w:rPr>
              <w:t>TTr-BNNMT</w:t>
            </w:r>
          </w:p>
          <w:p>
            <w:pPr>
              <w:pStyle w:val="Normal"/>
              <w:spacing w:before="0" w:after="0"/>
              <w:jc w:val="center"/>
              <w:rPr>
                <w:rFonts w:ascii="Times New Roman" w:hAnsi="Times New Roman" w:cs="Times New Roman"/>
                <w:b/>
                <w:color w:val="auto"/>
                <w:sz w:val="28"/>
                <w:szCs w:val="28"/>
              </w:rPr>
            </w:pPr>
            <w:r>
              <w:rPr>
                <w:rFonts w:cs="Times New Roman" w:ascii="Times New Roman" w:hAnsi="Times New Roman"/>
                <w:b/>
                <w:color w:val="auto"/>
                <w:sz w:val="28"/>
                <w:szCs w:val="28"/>
                <w:lang w:bidi="ar-SA"/>
              </w:rPr>
            </w:r>
          </w:p>
        </w:tc>
        <w:tc>
          <w:tcPr>
            <w:tcW w:w="4812" w:type="dxa"/>
            <w:tcBorders>
              <w:top w:val="nil"/>
              <w:left w:val="nil"/>
              <w:bottom w:val="nil"/>
              <w:right w:val="nil"/>
            </w:tcBorders>
          </w:tcPr>
          <w:p>
            <w:pPr>
              <w:pStyle w:val="Normal"/>
              <w:spacing w:before="0" w:after="0"/>
              <w:jc w:val="center"/>
              <w:rPr>
                <w:rFonts w:ascii="Times New Roman" w:hAnsi="Times New Roman" w:cs="Times New Roman"/>
                <w:b/>
                <w:color w:val="auto"/>
                <w:sz w:val="26"/>
                <w:szCs w:val="26"/>
              </w:rPr>
            </w:pPr>
            <w:r>
              <w:rPr>
                <w:rFonts w:cs="Times New Roman" w:ascii="Times New Roman" w:hAnsi="Times New Roman"/>
                <w:b/>
                <w:color w:val="auto"/>
                <w:sz w:val="26"/>
                <w:szCs w:val="26"/>
                <w:lang w:bidi="ar-SA"/>
              </w:rPr>
              <w:t>CỘNG HÒA XÃ HỘI CHỦ NGHĨA VIỆT NAM</w:t>
              <w:br/>
              <w:t xml:space="preserve">Độc lập - Tự do - Hạnh phúc </w:t>
            </w:r>
          </w:p>
          <w:p>
            <w:pPr>
              <w:pStyle w:val="Normal"/>
              <w:spacing w:before="0" w:after="0"/>
              <w:jc w:val="center"/>
              <w:rPr>
                <w:rFonts w:ascii="Times New Roman" w:hAnsi="Times New Roman" w:cs="Times New Roman"/>
                <w:b/>
                <w:color w:val="auto"/>
                <w:sz w:val="28"/>
                <w:szCs w:val="28"/>
              </w:rPr>
            </w:pPr>
            <w:r>
              <mc:AlternateContent>
                <mc:Choice Requires="wps">
                  <w:drawing>
                    <wp:anchor distT="0" distB="0" distL="0" distR="0" simplePos="0" relativeHeight="3" behindDoc="0" locked="0" layoutInCell="1" allowOverlap="1" wp14:anchorId="54D76AA4">
                      <wp:simplePos x="0" y="0"/>
                      <wp:positionH relativeFrom="column">
                        <wp:posOffset>718820</wp:posOffset>
                      </wp:positionH>
                      <wp:positionV relativeFrom="paragraph">
                        <wp:posOffset>24765</wp:posOffset>
                      </wp:positionV>
                      <wp:extent cx="2030095" cy="0"/>
                      <wp:effectExtent l="635" t="3810" r="0" b="3810"/>
                      <wp:wrapNone/>
                      <wp:docPr id="2" name="Straight Connector 1"/>
                      <a:graphic xmlns:a="http://schemas.openxmlformats.org/drawingml/2006/main">
                        <a:graphicData uri="http://schemas.microsoft.com/office/word/2010/wordprocessingShape">
                          <wps:wsp>
                            <wps:cNvSpPr/>
                            <wps:spPr>
                              <a:xfrm>
                                <a:off x="0" y="0"/>
                                <a:ext cx="2030040" cy="0"/>
                              </a:xfrm>
                              <a:prstGeom prst="line">
                                <a:avLst/>
                              </a:prstGeom>
                              <a:ln>
                                <a:solidFill>
                                  <a:srgbClr val="000000"/>
                                </a:solidFill>
                              </a:ln>
                            </wps:spPr>
                            <wps:style>
                              <a:lnRef idx="1">
                                <a:schemeClr val="dk1"/>
                              </a:lnRef>
                              <a:fillRef idx="0">
                                <a:schemeClr val="dk1"/>
                              </a:fillRef>
                              <a:effectRef idx="0">
                                <a:schemeClr val="dk1"/>
                              </a:effectRef>
                              <a:fontRef idx="minor"/>
                            </wps:style>
                            <wps:bodyPr/>
                          </wps:wsp>
                        </a:graphicData>
                      </a:graphic>
                    </wp:anchor>
                  </w:drawing>
                </mc:Choice>
                <mc:Fallback>
                  <w:pict>
                    <v:line id="shape_0" from="56.6pt,1.95pt" to="216.4pt,1.95pt" stroked="t" o:allowincell="t" style="position:absolute" wp14:anchorId="54D76AA4">
                      <v:stroke color="black" weight="6480" joinstyle="miter" endcap="flat"/>
                      <v:fill o:detectmouseclick="t" on="false"/>
                      <w10:wrap type="none"/>
                    </v:line>
                  </w:pict>
                </mc:Fallback>
              </mc:AlternateContent>
            </w:r>
            <w:r>
              <w:rPr>
                <w:rFonts w:cs="Times New Roman" w:ascii="Times New Roman" w:hAnsi="Times New Roman"/>
                <w:b/>
                <w:color w:val="auto"/>
                <w:sz w:val="28"/>
                <w:szCs w:val="28"/>
                <w:lang w:bidi="ar-SA"/>
              </w:rPr>
              <w:br/>
            </w:r>
            <w:r>
              <w:rPr>
                <w:rFonts w:cs="Times New Roman" w:ascii="Times New Roman" w:hAnsi="Times New Roman"/>
                <w:i/>
                <w:iCs/>
                <w:color w:val="auto"/>
                <w:sz w:val="28"/>
                <w:szCs w:val="28"/>
                <w:lang w:bidi="ar-SA"/>
              </w:rPr>
              <w:t xml:space="preserve">    Hà Nội, ngày      tháng        năm 2026</w:t>
            </w:r>
          </w:p>
        </w:tc>
      </w:tr>
    </w:tbl>
    <w:p>
      <w:pPr>
        <w:pStyle w:val="Normal"/>
        <w:rPr>
          <w:rFonts w:ascii="Times New Roman" w:hAnsi="Times New Roman" w:cs="Times New Roman"/>
          <w:color w:val="auto"/>
          <w:sz w:val="28"/>
          <w:szCs w:val="28"/>
        </w:rPr>
      </w:pPr>
      <w:r>
        <w:rPr>
          <w:rFonts w:cs="Times New Roman" w:ascii="Times New Roman" w:hAnsi="Times New Roman"/>
          <w:color w:val="auto"/>
          <w:sz w:val="28"/>
          <w:szCs w:val="28"/>
        </w:rPr>
      </w:r>
    </w:p>
    <w:p>
      <w:pPr>
        <w:pStyle w:val="Normal"/>
        <w:spacing w:before="120" w:after="0"/>
        <w:jc w:val="center"/>
        <w:rPr>
          <w:rFonts w:ascii="Times New Roman" w:hAnsi="Times New Roman" w:cs="Times New Roman"/>
          <w:b/>
          <w:bCs/>
          <w:color w:val="auto"/>
          <w:sz w:val="28"/>
          <w:szCs w:val="28"/>
        </w:rPr>
      </w:pPr>
      <w:r>
        <w:rPr>
          <w:rFonts w:cs="Times New Roman" w:ascii="Times New Roman" w:hAnsi="Times New Roman"/>
          <w:b/>
          <w:bCs/>
          <w:color w:val="auto"/>
          <w:sz w:val="28"/>
          <w:szCs w:val="28"/>
        </w:rPr>
        <w:t>TỜ TRÌNH</w:t>
      </w:r>
    </w:p>
    <w:p>
      <w:pPr>
        <w:pStyle w:val="Normal"/>
        <w:jc w:val="center"/>
        <w:rPr>
          <w:rFonts w:ascii="Times New Roman" w:hAnsi="Times New Roman" w:cs="Times New Roman"/>
          <w:b/>
          <w:bCs/>
          <w:color w:val="auto"/>
          <w:sz w:val="28"/>
          <w:szCs w:val="28"/>
        </w:rPr>
      </w:pPr>
      <w:r>
        <w:rPr>
          <w:rFonts w:cs="Times New Roman" w:ascii="Times New Roman" w:hAnsi="Times New Roman"/>
          <w:b/>
          <w:bCs/>
          <w:color w:val="auto"/>
          <w:sz w:val="28"/>
          <w:szCs w:val="28"/>
        </w:rPr>
        <w:t xml:space="preserve">Chính sách của dự án Luật Đất đai (sửa đổi) </w:t>
      </w:r>
    </w:p>
    <w:p>
      <w:pPr>
        <w:pStyle w:val="Normal"/>
        <w:jc w:val="center"/>
        <w:rPr>
          <w:rFonts w:ascii="Times New Roman" w:hAnsi="Times New Roman" w:cs="Times New Roman"/>
          <w:color w:val="auto"/>
          <w:sz w:val="28"/>
          <w:szCs w:val="28"/>
        </w:rPr>
      </w:pPr>
      <w:r>
        <w:rPr>
          <w:rFonts w:cs="Times New Roman" w:ascii="Times New Roman" w:hAnsi="Times New Roman"/>
          <w:color w:val="auto"/>
          <w:sz w:val="28"/>
          <w:szCs w:val="28"/>
        </w:rPr>
        <mc:AlternateContent>
          <mc:Choice Requires="wps">
            <w:drawing>
              <wp:anchor distT="0" distB="0" distL="0" distR="0" simplePos="0" relativeHeight="4" behindDoc="0" locked="0" layoutInCell="0" allowOverlap="1" wp14:anchorId="2F870E0F">
                <wp:simplePos x="0" y="0"/>
                <wp:positionH relativeFrom="margin">
                  <wp:align>center</wp:align>
                </wp:positionH>
                <wp:positionV relativeFrom="paragraph">
                  <wp:posOffset>73025</wp:posOffset>
                </wp:positionV>
                <wp:extent cx="1438275" cy="635"/>
                <wp:effectExtent l="635" t="3175" r="0" b="3175"/>
                <wp:wrapNone/>
                <wp:docPr id="3" name="Straight Connector 3"/>
                <a:graphic xmlns:a="http://schemas.openxmlformats.org/drawingml/2006/main">
                  <a:graphicData uri="http://schemas.microsoft.com/office/word/2010/wordprocessingShape">
                    <wps:wsp>
                      <wps:cNvSpPr/>
                      <wps:spPr>
                        <a:xfrm>
                          <a:off x="0" y="0"/>
                          <a:ext cx="1438200" cy="720"/>
                        </a:xfrm>
                        <a:prstGeom prst="line">
                          <a:avLst/>
                        </a:prstGeom>
                        <a:ln>
                          <a:solidFill>
                            <a:srgbClr val="000000"/>
                          </a:solidFill>
                        </a:ln>
                      </wps:spPr>
                      <wps:style>
                        <a:lnRef idx="1">
                          <a:schemeClr val="dk1"/>
                        </a:lnRef>
                        <a:fillRef idx="0">
                          <a:schemeClr val="dk1"/>
                        </a:fillRef>
                        <a:effectRef idx="0">
                          <a:schemeClr val="dk1"/>
                        </a:effectRef>
                        <a:fontRef idx="minor"/>
                      </wps:style>
                      <wps:bodyPr/>
                    </wps:wsp>
                  </a:graphicData>
                </a:graphic>
              </wp:anchor>
            </w:drawing>
          </mc:Choice>
          <mc:Fallback>
            <w:pict>
              <v:line id="shape_0" from="170.1pt,5.75pt" to="283.3pt,5.75pt" stroked="t" o:allowincell="f" style="position:absolute;mso-position-horizontal:center;mso-position-horizontal-relative:margin" wp14:anchorId="2F870E0F">
                <v:stroke color="black" weight="6480" joinstyle="miter" endcap="flat"/>
                <v:fill o:detectmouseclick="t" on="false"/>
                <w10:wrap type="none"/>
              </v:line>
            </w:pict>
          </mc:Fallback>
        </mc:AlternateContent>
      </w:r>
    </w:p>
    <w:p>
      <w:pPr>
        <w:pStyle w:val="Normal"/>
        <w:jc w:val="center"/>
        <w:rPr>
          <w:rFonts w:ascii="Times New Roman" w:hAnsi="Times New Roman" w:cs="Times New Roman"/>
          <w:color w:val="auto"/>
          <w:sz w:val="28"/>
          <w:szCs w:val="28"/>
        </w:rPr>
      </w:pPr>
      <w:r>
        <w:rPr>
          <w:rFonts w:cs="Times New Roman" w:ascii="Times New Roman" w:hAnsi="Times New Roman"/>
          <w:color w:val="auto"/>
          <w:sz w:val="28"/>
          <w:szCs w:val="28"/>
        </w:rPr>
        <w:t>Kính gửi: Chính phủ</w:t>
      </w:r>
    </w:p>
    <w:p>
      <w:pPr>
        <w:pStyle w:val="Normal"/>
        <w:jc w:val="center"/>
        <w:rPr>
          <w:rFonts w:ascii="Times New Roman" w:hAnsi="Times New Roman" w:cs="Times New Roman"/>
          <w:color w:val="auto"/>
          <w:sz w:val="28"/>
          <w:szCs w:val="28"/>
        </w:rPr>
      </w:pPr>
      <w:r>
        <w:rPr>
          <w:rFonts w:cs="Times New Roman" w:ascii="Times New Roman" w:hAnsi="Times New Roman"/>
          <w:color w:val="auto"/>
          <w:sz w:val="28"/>
          <w:szCs w:val="28"/>
        </w:rPr>
      </w:r>
    </w:p>
    <w:p>
      <w:pPr>
        <w:pStyle w:val="Normal"/>
        <w:spacing w:lineRule="exact" w:line="340" w:before="120" w:after="120"/>
        <w:ind w:firstLine="709"/>
        <w:jc w:val="both"/>
        <w:rPr>
          <w:rFonts w:ascii="Times New Roman" w:hAnsi="Times New Roman" w:cs="Times New Roman"/>
          <w:color w:val="auto"/>
          <w:spacing w:val="-4"/>
          <w:sz w:val="28"/>
          <w:szCs w:val="28"/>
        </w:rPr>
      </w:pPr>
      <w:r>
        <w:rPr>
          <w:rFonts w:cs="Times New Roman" w:ascii="Times New Roman" w:hAnsi="Times New Roman"/>
          <w:color w:val="auto"/>
          <w:spacing w:val="-4"/>
          <w:sz w:val="28"/>
          <w:szCs w:val="28"/>
        </w:rPr>
        <w:t xml:space="preserve">Thực hiện quy định của Luật Ban hành văn bản quy phạm pháp luật năm 2025, ngày 18/7/2026, Chính phủ đã có Nghị quyết số 189/NQ-CP thông qua chính sách của dự án Luật Đất đai (sửa đổi). </w:t>
      </w:r>
    </w:p>
    <w:p>
      <w:pPr>
        <w:pStyle w:val="Normal"/>
        <w:spacing w:lineRule="exact" w:line="340" w:before="120" w:after="120"/>
        <w:ind w:firstLine="709"/>
        <w:jc w:val="both"/>
        <w:rPr>
          <w:rFonts w:ascii="Times New Roman" w:hAnsi="Times New Roman" w:cs="Times New Roman"/>
          <w:color w:val="auto"/>
          <w:spacing w:val="-4"/>
          <w:sz w:val="28"/>
          <w:szCs w:val="28"/>
        </w:rPr>
      </w:pPr>
      <w:r>
        <w:rPr>
          <w:rFonts w:cs="Times New Roman" w:ascii="Times New Roman" w:hAnsi="Times New Roman"/>
          <w:color w:val="auto"/>
          <w:spacing w:val="-4"/>
          <w:sz w:val="28"/>
          <w:szCs w:val="28"/>
        </w:rPr>
        <w:t>Ngày 28/7/2026, Ban Chấp hành Trung ương thông qua Nghị quyết số 21-NQ/TW về quan điểm, định hướng sửa đổi Luật Đất đai và các luật có liên quan; trên cơ sở quan điểm, mục tiêu, nhiệm vụ, giải pháp tại Nghị Nghị quyết số 21-NQ/TW, Bộ Nông nghiệp và Môi trường đã rà soát, cập nhật và hoàn thiện 07 chính sách đã được Chính phủ thông qua tại Nghị quyết số 189/NQ-CP, kính trình Chính phủ 07 chính sách của dự án Luật Đất đai (sửa đổi) đã được cập nhật, hoàn thiện như sau:</w:t>
      </w:r>
    </w:p>
    <w:p>
      <w:pPr>
        <w:pStyle w:val="Heading1"/>
        <w:spacing w:lineRule="exact" w:line="340" w:before="120" w:after="120"/>
        <w:ind w:firstLine="709"/>
        <w:jc w:val="both"/>
        <w:rPr>
          <w:rFonts w:ascii="Times New Roman" w:hAnsi="Times New Roman" w:cs="Times New Roman"/>
          <w:b/>
          <w:bCs/>
          <w:color w:val="auto"/>
          <w:sz w:val="28"/>
          <w:szCs w:val="28"/>
        </w:rPr>
      </w:pPr>
      <w:r>
        <w:rPr>
          <w:rFonts w:cs="Times New Roman" w:ascii="Times New Roman" w:hAnsi="Times New Roman"/>
          <w:b/>
          <w:bCs/>
          <w:color w:val="auto"/>
          <w:sz w:val="28"/>
          <w:szCs w:val="28"/>
        </w:rPr>
        <w:t xml:space="preserve">I. SỰ CẦN THIẾT XÂY DỰNG CHÍNH SÁCH </w:t>
      </w:r>
    </w:p>
    <w:p>
      <w:pPr>
        <w:pStyle w:val="Heading2"/>
        <w:spacing w:lineRule="exact" w:line="340" w:before="120" w:after="120"/>
        <w:ind w:firstLine="709"/>
        <w:jc w:val="both"/>
        <w:rPr>
          <w:rFonts w:ascii="Times New Roman" w:hAnsi="Times New Roman" w:cs="Times New Roman"/>
          <w:b/>
          <w:bCs/>
          <w:i/>
          <w:color w:val="auto"/>
          <w:sz w:val="28"/>
          <w:szCs w:val="28"/>
        </w:rPr>
      </w:pPr>
      <w:r>
        <w:rPr>
          <w:rFonts w:cs="Times New Roman" w:ascii="Times New Roman" w:hAnsi="Times New Roman"/>
          <w:b/>
          <w:bCs/>
          <w:i/>
          <w:color w:val="auto"/>
          <w:sz w:val="28"/>
          <w:szCs w:val="28"/>
        </w:rPr>
        <w:t>1. Cơ sở chính trị, pháp lý</w:t>
      </w:r>
    </w:p>
    <w:p>
      <w:pPr>
        <w:pStyle w:val="Normal"/>
        <w:spacing w:lineRule="exact" w:line="340" w:before="120" w:after="120"/>
        <w:ind w:firstLine="709"/>
        <w:jc w:val="both"/>
        <w:rPr>
          <w:rFonts w:ascii="Times New Roman" w:hAnsi="Times New Roman" w:cs="Times New Roman"/>
          <w:color w:val="auto"/>
          <w:sz w:val="28"/>
          <w:szCs w:val="28"/>
        </w:rPr>
      </w:pPr>
      <w:r>
        <w:rPr>
          <w:rFonts w:cs="Times New Roman" w:ascii="Times New Roman" w:hAnsi="Times New Roman"/>
          <w:color w:val="auto"/>
          <w:sz w:val="28"/>
          <w:szCs w:val="28"/>
        </w:rPr>
        <w:t xml:space="preserve">- Nghị quyết số 21-NQ/TW ngày 28/7/2026, Hội nghị lần thứ ba Ban chấp hành Trung ương Đảng khóa XIV về </w:t>
      </w:r>
      <w:r>
        <w:rPr>
          <w:rFonts w:cs="Times New Roman" w:ascii="Times New Roman" w:hAnsi="Times New Roman"/>
          <w:i/>
          <w:iCs/>
          <w:color w:val="auto"/>
          <w:sz w:val="28"/>
          <w:szCs w:val="28"/>
        </w:rPr>
        <w:t>“quan điểm, định hướng sửa đổi Luật Đất đai và các luật có liên quan”</w:t>
      </w:r>
      <w:r>
        <w:rPr>
          <w:rFonts w:cs="Times New Roman" w:ascii="Times New Roman" w:hAnsi="Times New Roman"/>
          <w:color w:val="auto"/>
          <w:sz w:val="28"/>
          <w:szCs w:val="28"/>
        </w:rPr>
        <w:t>;</w:t>
      </w:r>
    </w:p>
    <w:p>
      <w:pPr>
        <w:pStyle w:val="Normal"/>
        <w:spacing w:lineRule="exact" w:line="340" w:before="120" w:after="120"/>
        <w:ind w:firstLine="709"/>
        <w:jc w:val="both"/>
        <w:rPr>
          <w:rFonts w:ascii="Times New Roman" w:hAnsi="Times New Roman" w:cs="Times New Roman"/>
          <w:color w:val="auto"/>
          <w:sz w:val="28"/>
          <w:szCs w:val="28"/>
        </w:rPr>
      </w:pPr>
      <w:r>
        <w:rPr>
          <w:rFonts w:cs="Times New Roman" w:ascii="Times New Roman" w:hAnsi="Times New Roman"/>
          <w:color w:val="auto"/>
          <w:sz w:val="28"/>
          <w:szCs w:val="28"/>
        </w:rPr>
        <w:t>- Nghị quyết số 57-NQ/TW ngày 22/12/2024 của Bộ Chính trị về đột phá phát triển khoa học, công nghệ, đổi mới sáng tạo và chuyển đổi số quốc gia, trong đó đã yêu cầu “</w:t>
      </w:r>
      <w:r>
        <w:rPr>
          <w:rFonts w:cs="Times New Roman" w:ascii="Times New Roman" w:hAnsi="Times New Roman"/>
          <w:i/>
          <w:color w:val="auto"/>
          <w:sz w:val="28"/>
          <w:szCs w:val="28"/>
        </w:rPr>
        <w:t>Có cơ chế đặc biệt về nhập quốc tịch, sở hữu nhà, đất… Cơ chế ưu đãi về đất đai, tín dụng, thuế trong nghiên cứu, thử nghiệm, ứng dụng, phát triển, sản xuất sản phẩm, dịch vụ công nghệ số. Phát triển một số khu công nghiệp công nghệ số. Thúc đẩy doanh nghiệp tái đầu tư hạ tầng, đầu tư nghiên cứu và phát triển (R&amp;D</w:t>
      </w:r>
      <w:r>
        <w:rPr>
          <w:rFonts w:cs="Times New Roman" w:ascii="Times New Roman" w:hAnsi="Times New Roman"/>
          <w:color w:val="auto"/>
          <w:sz w:val="28"/>
          <w:szCs w:val="28"/>
        </w:rPr>
        <w:t>)”;</w:t>
      </w:r>
    </w:p>
    <w:p>
      <w:pPr>
        <w:pStyle w:val="Normal"/>
        <w:spacing w:lineRule="exact" w:line="340" w:before="120" w:after="120"/>
        <w:ind w:firstLine="709"/>
        <w:jc w:val="both"/>
        <w:rPr>
          <w:rFonts w:ascii="Times New Roman" w:hAnsi="Times New Roman" w:cs="Times New Roman"/>
          <w:color w:val="auto"/>
          <w:sz w:val="28"/>
          <w:szCs w:val="28"/>
        </w:rPr>
      </w:pPr>
      <w:r>
        <w:rPr>
          <w:rFonts w:cs="Times New Roman" w:ascii="Times New Roman" w:hAnsi="Times New Roman"/>
          <w:color w:val="auto"/>
          <w:sz w:val="28"/>
          <w:szCs w:val="28"/>
        </w:rPr>
        <w:t>- Nghị quyết số 66-NQ/TW ngày 30/4/2025 của Bộ Chính trị về đổi mới công tác xây dựng và thi hành pháp luật đáp ứng yêu cầu phát triển đất nước trong kỷ nguyên mới đã nêu: “…</w:t>
      </w:r>
      <w:r>
        <w:rPr>
          <w:rFonts w:cs="Times New Roman" w:ascii="Times New Roman" w:hAnsi="Times New Roman"/>
          <w:i/>
          <w:color w:val="auto"/>
          <w:sz w:val="28"/>
          <w:szCs w:val="28"/>
        </w:rPr>
        <w:t>luật điều chỉnh các nội dung về kiến tạo phát triển chỉ quy định những vấn đề khung, những vấn đề có tính nguyên tắc thuộc thẩm quyền của Quốc hội, còn những vấn đề thực tiễn thường xuyên biến động thì giao Chính phủ, bộ, ngành, địa phương quy định để bảo đảm linh hoạt, phù hợp với thực tiễn.” “Xây dựng và hoàn thiện pháp luật về kinh tế thị trường định hướng xã hội chủ nghĩa theo hướng xây dựng môi trường pháp lý thuận lợi, thông thoáng, minh bạch, an toàn, chi phí tuân thủ thấp; triệt để cắt giảm, đơn giản hóa điều kiện đầu tư, kinh doanh, hành nghề, thủ tục hành chính bất hợp lý; thúc đẩy khởi nghiệp sáng tạo, cải thiện môi trường đầu tư, kinh doanh ổn định</w:t>
      </w:r>
      <w:r>
        <w:rPr>
          <w:rFonts w:cs="Times New Roman" w:ascii="Times New Roman" w:hAnsi="Times New Roman"/>
          <w:color w:val="auto"/>
          <w:sz w:val="28"/>
          <w:szCs w:val="28"/>
        </w:rPr>
        <w:t>”;</w:t>
      </w:r>
    </w:p>
    <w:p>
      <w:pPr>
        <w:pStyle w:val="Normal"/>
        <w:spacing w:lineRule="exact" w:line="340" w:before="120" w:after="120"/>
        <w:ind w:firstLine="709"/>
        <w:jc w:val="both"/>
        <w:rPr>
          <w:rFonts w:ascii="Times New Roman" w:hAnsi="Times New Roman" w:cs="Times New Roman"/>
          <w:color w:val="auto"/>
          <w:sz w:val="28"/>
          <w:szCs w:val="28"/>
        </w:rPr>
      </w:pPr>
      <w:r>
        <w:rPr>
          <w:rFonts w:cs="Times New Roman" w:ascii="Times New Roman" w:hAnsi="Times New Roman"/>
          <w:color w:val="auto"/>
          <w:sz w:val="28"/>
          <w:szCs w:val="28"/>
        </w:rPr>
        <w:t>Mục tiêu: “</w:t>
      </w:r>
      <w:r>
        <w:rPr>
          <w:rFonts w:cs="Times New Roman" w:ascii="Times New Roman" w:hAnsi="Times New Roman"/>
          <w:i/>
          <w:color w:val="auto"/>
          <w:sz w:val="28"/>
          <w:szCs w:val="28"/>
        </w:rPr>
        <w:t>Năm 2025, cơ bản hoàn thành việc tháo gỡ những "điểm nghẽn" do quy định pháp luật. Năm 2027, hoàn thành việc sửa đổi, bổ sung, ban hành mới văn bản pháp luật bảo đảm cơ sở pháp lý đồng bộ cho hoạt động của bộ máy nhà nước theo mô hình chính quyền 2 cấp…</w:t>
      </w:r>
      <w:r>
        <w:rPr>
          <w:rFonts w:cs="Times New Roman" w:ascii="Times New Roman" w:hAnsi="Times New Roman"/>
          <w:color w:val="auto"/>
          <w:sz w:val="28"/>
          <w:szCs w:val="28"/>
        </w:rPr>
        <w:t>.”. Đồng thời yêu cầu: “</w:t>
      </w:r>
      <w:r>
        <w:rPr>
          <w:rFonts w:cs="Times New Roman" w:ascii="Times New Roman" w:hAnsi="Times New Roman"/>
          <w:i/>
          <w:color w:val="auto"/>
          <w:sz w:val="28"/>
          <w:szCs w:val="28"/>
        </w:rPr>
        <w:t>Khẩn trương sửa đổi, bổ sung các văn bản pháp luật đáp ứng yêu cầu thực hiện chủ trương tinh gọn tổ chức bộ máy của hệ thống chính trị, sắp xếp đơn vị hành chính, gắn với phân cấp, phân quyền tối đa theo phương châm “địa phương quyết, địa phương làm, địa phương chịu trách nhiệm”</w:t>
      </w:r>
      <w:r>
        <w:rPr>
          <w:rFonts w:cs="Times New Roman" w:ascii="Times New Roman" w:hAnsi="Times New Roman"/>
          <w:color w:val="auto"/>
          <w:sz w:val="28"/>
          <w:szCs w:val="28"/>
        </w:rPr>
        <w:t>;</w:t>
      </w:r>
    </w:p>
    <w:p>
      <w:pPr>
        <w:pStyle w:val="Normal"/>
        <w:spacing w:lineRule="exact" w:line="340" w:before="120" w:after="120"/>
        <w:ind w:firstLine="709"/>
        <w:jc w:val="both"/>
        <w:rPr>
          <w:rFonts w:ascii="Times New Roman" w:hAnsi="Times New Roman" w:cs="Times New Roman"/>
          <w:color w:val="auto"/>
          <w:sz w:val="28"/>
          <w:szCs w:val="28"/>
        </w:rPr>
      </w:pPr>
      <w:r>
        <w:rPr>
          <w:rFonts w:cs="Times New Roman" w:ascii="Times New Roman" w:hAnsi="Times New Roman"/>
          <w:color w:val="auto"/>
          <w:sz w:val="28"/>
          <w:szCs w:val="28"/>
        </w:rPr>
        <w:t>- Nghị quyết số 68-NQ/TW ngày 04/5/2025 của Bộ Chính trị về phát triển kinh tế tư nhân, trong đó đã yêu cầu: “</w:t>
      </w:r>
      <w:r>
        <w:rPr>
          <w:rFonts w:cs="Times New Roman" w:ascii="Times New Roman" w:hAnsi="Times New Roman"/>
          <w:i/>
          <w:color w:val="auto"/>
          <w:sz w:val="28"/>
          <w:szCs w:val="28"/>
        </w:rPr>
        <w:t xml:space="preserve">Hoàn thiện hệ thống pháp luật, xoá bỏ các rào cản tiếp cận thị trường đảm bảo môi trường kinh doanh thông thoáng, minh bạch, rõ ràng, nhất quán, ổn định lâu dài, dễ tuân thủ, chi phí thấp. Minh bạch hoá, số hoá, thông minh hoá, tự động hoá, áp dụng triệt để trí tuệ nhân tạo và dữ liệu lớn trong thực hiện các quy trình, thủ tục hành chính, nhất là về gia nhập, rút lui khỏi thị trường, </w:t>
      </w:r>
      <w:r>
        <w:rPr>
          <w:rFonts w:cs="Times New Roman" w:ascii="Times New Roman" w:hAnsi="Times New Roman"/>
          <w:i/>
          <w:color w:val="auto"/>
          <w:sz w:val="28"/>
          <w:szCs w:val="28"/>
          <w:u w:val="single"/>
        </w:rPr>
        <w:t>đất đai</w:t>
      </w:r>
      <w:r>
        <w:rPr>
          <w:rFonts w:cs="Times New Roman" w:ascii="Times New Roman" w:hAnsi="Times New Roman"/>
          <w:i/>
          <w:color w:val="auto"/>
          <w:sz w:val="28"/>
          <w:szCs w:val="28"/>
        </w:rPr>
        <w:t>, quy hoạch, đầu tư, xây dựng, thuế, hải quan, bảo hiểm, sở hữu trí tuệ, tiêu chuẩn, quy chuẩn... Trong năm 2025, hoàn thành việc rà soát, loại bỏ những điều kiện kinh doanh không cần thiết, quy định chồng chéo, không phù hợp, cản trở sự phát triển của doanh nghiệp tư nhân; thực hiện cắt giảm ít nhất 30% thời gian xử lý thủ tục hành chính, ít nhất 30% chi phí tuân thủ pháp luật, ít nhất 30% điều kiện kinh doanh và tiếp tục cắt giảm mạnh trong những năm tiếp theo</w:t>
      </w:r>
      <w:r>
        <w:rPr>
          <w:rFonts w:cs="Times New Roman" w:ascii="Times New Roman" w:hAnsi="Times New Roman"/>
          <w:color w:val="auto"/>
          <w:sz w:val="28"/>
          <w:szCs w:val="28"/>
        </w:rPr>
        <w:t>”;</w:t>
      </w:r>
    </w:p>
    <w:p>
      <w:pPr>
        <w:pStyle w:val="Normal"/>
        <w:spacing w:lineRule="exact" w:line="340" w:before="120" w:after="120"/>
        <w:ind w:firstLine="709"/>
        <w:jc w:val="both"/>
        <w:rPr>
          <w:rFonts w:ascii="Times New Roman" w:hAnsi="Times New Roman" w:cs="Times New Roman"/>
          <w:color w:val="auto"/>
          <w:sz w:val="28"/>
          <w:szCs w:val="28"/>
        </w:rPr>
      </w:pPr>
      <w:r>
        <w:rPr>
          <w:rFonts w:cs="Times New Roman" w:ascii="Times New Roman" w:hAnsi="Times New Roman"/>
          <w:color w:val="auto"/>
          <w:sz w:val="28"/>
          <w:szCs w:val="28"/>
        </w:rPr>
        <w:t>- Nghị quyết số 69-NQ/TW ngày 19/7/2025 Hội nghị lần thứ 12</w:t>
        <w:br/>
        <w:t>Ban chấp hành Trung ương Đảng khóa XIII, trong đó đã cơ bản thống nhất với</w:t>
        <w:br/>
        <w:t>một số nội dung đề xuất của Đảng ủy Chính phủ về một số vấn đề mới đặt ra từ</w:t>
        <w:br/>
        <w:t>thực tiễn thực hiện Nghị quyết số 18-NQ/TW;</w:t>
      </w:r>
    </w:p>
    <w:p>
      <w:pPr>
        <w:pStyle w:val="Normal"/>
        <w:spacing w:lineRule="exact" w:line="340" w:before="120" w:after="120"/>
        <w:ind w:firstLine="709"/>
        <w:jc w:val="both"/>
        <w:rPr>
          <w:rFonts w:ascii="Times New Roman" w:hAnsi="Times New Roman" w:cs="Times New Roman"/>
          <w:color w:val="auto"/>
          <w:sz w:val="28"/>
          <w:szCs w:val="28"/>
        </w:rPr>
      </w:pPr>
      <w:r>
        <w:rPr>
          <w:rFonts w:cs="Times New Roman" w:ascii="Times New Roman" w:hAnsi="Times New Roman"/>
          <w:color w:val="auto"/>
          <w:sz w:val="28"/>
          <w:szCs w:val="28"/>
        </w:rPr>
        <w:t xml:space="preserve">- Nghị quyết số 70-NQ/TW ngày 20/8/2025 của Bộ Chính trị về bảo đảm an ninh năng lượng quốc gia đến năm 2030, tầm nhìn đến năm 2045; </w:t>
      </w:r>
    </w:p>
    <w:p>
      <w:pPr>
        <w:pStyle w:val="Normal"/>
        <w:spacing w:lineRule="exact" w:line="340" w:before="120" w:after="120"/>
        <w:ind w:firstLine="709"/>
        <w:jc w:val="both"/>
        <w:rPr>
          <w:rFonts w:ascii="Times New Roman" w:hAnsi="Times New Roman" w:cs="Times New Roman"/>
          <w:color w:val="auto"/>
          <w:sz w:val="28"/>
          <w:szCs w:val="28"/>
        </w:rPr>
      </w:pPr>
      <w:r>
        <w:rPr>
          <w:rFonts w:cs="Times New Roman" w:ascii="Times New Roman" w:hAnsi="Times New Roman"/>
          <w:color w:val="auto"/>
          <w:sz w:val="28"/>
          <w:szCs w:val="28"/>
        </w:rPr>
        <w:t xml:space="preserve">- Nghị quyết số 71-NQ/TW ngày 22/8/2025 của Bộ Chính trị về đột phá phát triển giáo dục và đào tạo; </w:t>
      </w:r>
    </w:p>
    <w:p>
      <w:pPr>
        <w:pStyle w:val="Normal"/>
        <w:spacing w:lineRule="exact" w:line="340" w:before="120" w:after="120"/>
        <w:ind w:firstLine="709"/>
        <w:jc w:val="both"/>
        <w:rPr>
          <w:rFonts w:ascii="Times New Roman" w:hAnsi="Times New Roman" w:cs="Times New Roman"/>
          <w:color w:val="auto"/>
          <w:sz w:val="28"/>
          <w:szCs w:val="28"/>
        </w:rPr>
      </w:pPr>
      <w:r>
        <w:rPr>
          <w:rFonts w:cs="Times New Roman" w:ascii="Times New Roman" w:hAnsi="Times New Roman"/>
          <w:color w:val="auto"/>
          <w:sz w:val="28"/>
          <w:szCs w:val="28"/>
        </w:rPr>
        <w:t>- Nghị quyết số 72-NQ/TW ngày 09/9/2025 của Bộ Chính trị về một số giải pháp đột phá, tăng cường bảo vệ, chăm sóc và nâng cao sức khỏe Nhân dân;</w:t>
      </w:r>
    </w:p>
    <w:p>
      <w:pPr>
        <w:pStyle w:val="Normal"/>
        <w:spacing w:lineRule="exact" w:line="340" w:before="120" w:after="120"/>
        <w:ind w:firstLine="709"/>
        <w:jc w:val="both"/>
        <w:rPr>
          <w:rStyle w:val="fontstyle01"/>
          <w:color w:val="auto"/>
          <w:spacing w:val="-8"/>
        </w:rPr>
      </w:pPr>
      <w:r>
        <w:rPr>
          <w:rStyle w:val="fontstyle01"/>
          <w:color w:val="auto"/>
          <w:spacing w:val="-8"/>
        </w:rPr>
        <w:t xml:space="preserve">- Nghị quyết số 79-NQ/TW ngày 06/01/2026 của Bộ Chính trị về phát triển kinh tế nhà nước, trong đó có yêu cầu sửa đổi Luật Đất đai để thực hiện nhiệm vụ </w:t>
      </w:r>
      <w:r>
        <w:rPr>
          <w:rStyle w:val="fontstyle01"/>
          <w:i/>
          <w:color w:val="auto"/>
          <w:spacing w:val="-8"/>
        </w:rPr>
        <w:t>“Tiếp tục hoàn thiện quy định pháp luật về quản lý đất đai, trước mắt trong năm 2026 hoàn thành việc xây dựng và ban hành Luật Đất đai sửa đổi và các văn bản hướng dẫn…”</w:t>
      </w:r>
      <w:r>
        <w:rPr>
          <w:rStyle w:val="fontstyle01"/>
          <w:color w:val="auto"/>
          <w:spacing w:val="-8"/>
        </w:rPr>
        <w:t>;</w:t>
      </w:r>
    </w:p>
    <w:p>
      <w:pPr>
        <w:pStyle w:val="Normal"/>
        <w:spacing w:lineRule="exact" w:line="340" w:before="120" w:after="120"/>
        <w:ind w:firstLine="709"/>
        <w:jc w:val="both"/>
        <w:rPr>
          <w:rStyle w:val="fontstyle01"/>
          <w:i/>
          <w:color w:val="auto"/>
        </w:rPr>
      </w:pPr>
      <w:r>
        <w:rPr>
          <w:rStyle w:val="fontstyle01"/>
          <w:color w:val="auto"/>
          <w:spacing w:val="-4"/>
        </w:rPr>
        <w:t xml:space="preserve">- Nghị quyết số 80-NQ/TW ngày 07/01/2026 của Bộ Chính trị về phát triển văn hóa Việt Nam, trong đó có định hướng </w:t>
      </w:r>
      <w:r>
        <w:rPr>
          <w:rStyle w:val="fontstyle01"/>
          <w:i/>
          <w:color w:val="auto"/>
          <w:spacing w:val="-4"/>
        </w:rPr>
        <w:t>“…Có chính sách ưu đãi vượt trội về đất đai, miễn, giảm thuế thu nhập doanh nghiệp cho các doanh nghiệp khởi nghiệp sáng tạo trong lĩnh vực văn hoá, ưu tiên công nghiệp văn hoá, công nghiệp giải trí</w:t>
      </w:r>
      <w:r>
        <w:rPr>
          <w:rStyle w:val="fontstyle01"/>
          <w:i/>
          <w:color w:val="auto"/>
        </w:rPr>
        <w:t>”;</w:t>
      </w:r>
    </w:p>
    <w:p>
      <w:pPr>
        <w:pStyle w:val="Normal"/>
        <w:spacing w:lineRule="exact" w:line="340" w:before="120" w:after="120"/>
        <w:ind w:firstLine="709"/>
        <w:jc w:val="both"/>
        <w:rPr>
          <w:rStyle w:val="fontstyle01"/>
          <w:iCs/>
          <w:color w:val="auto"/>
        </w:rPr>
      </w:pPr>
      <w:r>
        <w:rPr>
          <w:rFonts w:cs="Times New Roman" w:ascii="Times New Roman" w:hAnsi="Times New Roman"/>
          <w:iCs/>
          <w:color w:val="auto"/>
          <w:sz w:val="28"/>
          <w:szCs w:val="28"/>
        </w:rPr>
        <w:t>- Nghị quyết số 10-NQ/TW ngày 08/6/2026 của Bộ Chính trị về phát triển kinh tế có vốn đầu tư nước ngoài;</w:t>
      </w:r>
    </w:p>
    <w:p>
      <w:pPr>
        <w:pStyle w:val="Normal"/>
        <w:spacing w:lineRule="exact" w:line="340" w:before="120" w:after="120"/>
        <w:ind w:firstLine="709"/>
        <w:jc w:val="both"/>
        <w:rPr>
          <w:rStyle w:val="fontstyle01"/>
          <w:color w:val="auto"/>
        </w:rPr>
      </w:pPr>
      <w:r>
        <w:rPr>
          <w:rStyle w:val="fontstyle01"/>
          <w:color w:val="auto"/>
        </w:rPr>
        <w:t xml:space="preserve">- Kết luận số 18-KL/TW ngày 02/4/2026, Hội nghị lần thứ 2 Ban Chấp hành Trung ương Đảng về Kế hoạch phát triển kinh tế - xã hội, tài chính quốc gia và vay, trả nợ công, đầu tư công trung hạn 5 năm 2026 - 2030 gắn với thực hiện mục tiêu phấn đấu tăng trưởng “2 con số”, trong đó có nhiệm vụ trọng tâm năm 2026 để thực hiện mục tiêu tăng trưởng “2 con số”, trong đó đã yêu cầu: </w:t>
      </w:r>
      <w:r>
        <w:rPr>
          <w:rStyle w:val="fontstyle01"/>
          <w:i/>
          <w:color w:val="auto"/>
        </w:rPr>
        <w:t>“Sửa đổi Luật Đất đai và các văn bản hướng dẫn thi hành</w:t>
      </w:r>
      <w:r>
        <w:rPr>
          <w:rStyle w:val="fontstyle01"/>
          <w:color w:val="auto"/>
        </w:rPr>
        <w:t xml:space="preserve">”, thời hạn hoàn thành năm 2026; </w:t>
      </w:r>
      <w:r>
        <w:rPr>
          <w:rStyle w:val="fontstyle01"/>
          <w:i/>
          <w:color w:val="auto"/>
        </w:rPr>
        <w:t>(i) “Quản lý, điều hành ngân sách nhà nước hiệu lực, hiệu quả, bảo đảm vai trò chủ đạo của ngân sách trung ương, nâng cao chất lượng nguồn thu, mở rộng cơ sở thu, tăng tính bền vững của nền tài chính quốc gia...”; (ii) “Xây dựng hệ thống thuế hiện đại, minh bạch, vừa thúc đẩy tăng trưởng vừa bảo đảm nguồn thu cho ngân sách nhà nước, hạn chế tối đa việc lồng ghép chính sách xã hội trong chính sách thuế, bảo đảm tính trung lập của hệ thống thuế. Quản lý, sử dụng hiệu quả nguồn lợi nhuận sau thuế của khu vực doanh nghiệp nhà nước, vừa thực hiện mục tiêu phát triển kinh tế nhà nước, vừa không ảnh hưởng lớn tới nguồn thu của ngân sách nhà nước”; (iii) “Đối với chính sách đặc thù tài chính - ngân sách nhà nướccủa địa phương, tập trung khai thác các nguồn thu mới; không ban hành các cơ chế, chính sách, quy định đặc thù về miễn, giảm, ưu đãi thuế cao hơn quy định của pháp luật về thuế, pháp luật khác về thu ngân sách nhà nước. Không quy định phân cấp nguồn thu ngân sách nhà nước, để lại nguồn thu ngân sách trung ương khác với quy định của Luật Ngân sách nhà nước, Kết luận số 93-KL/TW của Bộ Chính trị (trừ trường hợp theo chủ trương của cấp có thẩm quyền)”</w:t>
      </w:r>
      <w:r>
        <w:rPr>
          <w:rStyle w:val="fontstyle01"/>
          <w:color w:val="auto"/>
        </w:rPr>
        <w:t>;</w:t>
      </w:r>
    </w:p>
    <w:p>
      <w:pPr>
        <w:pStyle w:val="Normal"/>
        <w:spacing w:lineRule="exact" w:line="340" w:before="120" w:after="120"/>
        <w:ind w:firstLine="709"/>
        <w:jc w:val="both"/>
        <w:rPr>
          <w:rStyle w:val="fontstyle01"/>
          <w:color w:val="auto"/>
        </w:rPr>
      </w:pPr>
      <w:r>
        <w:rPr>
          <w:rFonts w:cs="Times New Roman" w:ascii="Times New Roman" w:hAnsi="Times New Roman"/>
          <w:color w:val="auto"/>
          <w:sz w:val="28"/>
          <w:szCs w:val="28"/>
        </w:rPr>
        <w:t>- Kết luận số 09-KL/TW ngày 10/3/2026 của Bộ Chính trị về hoàn thiện cấu trúc hệ thống pháp luật Việt Nam đáp ứng yêu cầu phát triển đất nước trong kỷ nguyên mới;</w:t>
      </w:r>
    </w:p>
    <w:p>
      <w:pPr>
        <w:pStyle w:val="Normal"/>
        <w:spacing w:lineRule="exact" w:line="340" w:before="120" w:after="120"/>
        <w:ind w:firstLine="709"/>
        <w:jc w:val="both"/>
        <w:rPr>
          <w:rFonts w:ascii="Times New Roman" w:hAnsi="Times New Roman" w:cs="Times New Roman"/>
          <w:color w:val="auto"/>
          <w:sz w:val="28"/>
          <w:szCs w:val="28"/>
        </w:rPr>
      </w:pPr>
      <w:r>
        <w:rPr>
          <w:rFonts w:cs="Times New Roman" w:ascii="Times New Roman" w:hAnsi="Times New Roman"/>
          <w:color w:val="auto"/>
          <w:sz w:val="28"/>
          <w:szCs w:val="28"/>
        </w:rPr>
        <w:t>- Kết luận số 119-KL/TW ngày 20/01/2025 của Bộ Chính trị về định hướng đổi mới, hoàn thiện quy định pháp luật yêu cầu: “</w:t>
      </w:r>
      <w:r>
        <w:rPr>
          <w:rFonts w:cs="Times New Roman" w:ascii="Times New Roman" w:hAnsi="Times New Roman"/>
          <w:i/>
          <w:color w:val="auto"/>
          <w:sz w:val="28"/>
          <w:szCs w:val="28"/>
        </w:rPr>
        <w:t>Đổi mới mạnh mẽ tư duy xây dựng pháp luật theo hướng vừa bảo đảm yêu cầu quản lý nhà nước vừa khuyến khích sáng tạo, giải phóng toàn bộ sức sản xuất, khơi thông mọi nguồn lực để phát triển. Công tác xây dựng pháp luật phải bám sát thực tiễn, nâng cao năng lực phản ứng chính sách và giải quyết hiệu quả, kịp thời những vấn đề thực tiễn đặt ra, lấy người dân, doanh nghiệp làm trung tâm, chủ thể; bảo đảm cơ sở pháp lý và các điều kiện để đẩy mạnh thực hiện chủ trương phân cấp, phân quyền; cải cách triệt để thủ tục hành chính, giảm chi phí tuân thủ; dứt khoát từ bỏ tư duy “không quản được thì cấm”, không đẩy khó khăn cho người dân, doanh nghiệp trong ban hành và tổ chức thi hành pháp luật. Các quy định của luật phải mang tính ổn định, có giá trị lâu dài</w:t>
      </w:r>
      <w:r>
        <w:rPr>
          <w:rFonts w:cs="Times New Roman" w:ascii="Times New Roman" w:hAnsi="Times New Roman"/>
          <w:color w:val="auto"/>
          <w:sz w:val="28"/>
          <w:szCs w:val="28"/>
        </w:rPr>
        <w:t>”;</w:t>
      </w:r>
    </w:p>
    <w:p>
      <w:pPr>
        <w:pStyle w:val="Normal"/>
        <w:spacing w:lineRule="exact" w:line="340" w:before="120" w:after="120"/>
        <w:ind w:firstLine="709"/>
        <w:jc w:val="both"/>
        <w:rPr>
          <w:rFonts w:ascii="Times New Roman" w:hAnsi="Times New Roman" w:cs="Times New Roman"/>
          <w:color w:val="auto"/>
          <w:sz w:val="28"/>
          <w:szCs w:val="28"/>
        </w:rPr>
      </w:pPr>
      <w:r>
        <w:rPr>
          <w:rFonts w:cs="Times New Roman" w:ascii="Times New Roman" w:hAnsi="Times New Roman"/>
          <w:color w:val="auto"/>
          <w:sz w:val="28"/>
          <w:szCs w:val="28"/>
        </w:rPr>
        <w:t>- Kết luận số 155-KL/TW ngày 17/5/2025 của Bộ Chính trị, Ban Bí thư về một số nhiệm vụ trọng tâm cần tập trung thực hiện về sắp xếp tổ chức bộ máy và đơn vị hành chính từ nay đến ngày 30/6/2025, trong đó đã yêu cầu: “</w:t>
      </w:r>
      <w:r>
        <w:rPr>
          <w:rFonts w:cs="Times New Roman" w:ascii="Times New Roman" w:hAnsi="Times New Roman"/>
          <w:i/>
          <w:color w:val="auto"/>
          <w:sz w:val="28"/>
          <w:szCs w:val="28"/>
          <w:lang w:val="nl-NL"/>
        </w:rPr>
        <w:t>đẩy mạnh phân cấp, phân quyền và phân định rõ giữa thẩm quyền chung của Uỷ ban nhân dân và thẩm quyền riêng của Chủ tịch Uỷ ban nhân dân cấp tỉnh, cấp xã phù hợp với chủ trương của Đảng, Nhà nước nhằm phát huy vai trò, trách nhiệm của người đứng đầu cơ quan, tổ chức các c</w:t>
      </w:r>
      <w:r>
        <w:rPr>
          <w:rFonts w:cs="Times New Roman" w:ascii="Times New Roman" w:hAnsi="Times New Roman"/>
          <w:color w:val="auto"/>
          <w:sz w:val="28"/>
          <w:szCs w:val="28"/>
          <w:lang w:val="nl-NL"/>
        </w:rPr>
        <w:t>ấp”</w:t>
      </w:r>
      <w:r>
        <w:rPr>
          <w:rFonts w:cs="Times New Roman" w:ascii="Times New Roman" w:hAnsi="Times New Roman"/>
          <w:color w:val="auto"/>
          <w:sz w:val="28"/>
          <w:szCs w:val="28"/>
        </w:rPr>
        <w:t>;</w:t>
      </w:r>
    </w:p>
    <w:p>
      <w:pPr>
        <w:pStyle w:val="Normal"/>
        <w:spacing w:lineRule="exact" w:line="340" w:before="120" w:after="120"/>
        <w:ind w:firstLine="709"/>
        <w:jc w:val="both"/>
        <w:rPr>
          <w:rFonts w:ascii="Times New Roman" w:hAnsi="Times New Roman" w:cs="Times New Roman"/>
          <w:color w:val="auto"/>
          <w:sz w:val="28"/>
          <w:szCs w:val="28"/>
        </w:rPr>
      </w:pPr>
      <w:r>
        <w:rPr>
          <w:rFonts w:cs="Times New Roman" w:ascii="Times New Roman" w:hAnsi="Times New Roman"/>
          <w:color w:val="auto"/>
          <w:sz w:val="28"/>
          <w:szCs w:val="28"/>
        </w:rPr>
        <w:t>- Kết luận số 194-KL/TW ngày 20/9/2025 của Bộ Chính trị liên quan đến việc đánh giá tình hình thực hiện Nghị quyết số 18-NQ/TW ngày 16/6/2022, Hội nghị lần thứ 5 Ban chấp hành Trung ương Đảng khóa XIII về tiếp tục đổi mới, hoàn thiện thể chế, chính sách, nâng cao hiệu lực, hiệu quả quản lý và sử dụng đất, tạo động lực đưa nước ta trở thành nước phát triển có thu nhập cao và đề xuất sửa đổi, bổ sung một số điều của Luật Đất đai;</w:t>
      </w:r>
    </w:p>
    <w:p>
      <w:pPr>
        <w:pStyle w:val="Normal"/>
        <w:spacing w:lineRule="exact" w:line="340" w:before="120" w:after="120"/>
        <w:ind w:firstLine="709"/>
        <w:jc w:val="both"/>
        <w:rPr>
          <w:rFonts w:ascii="Times New Roman" w:hAnsi="Times New Roman" w:cs="Times New Roman"/>
          <w:color w:val="auto"/>
          <w:sz w:val="28"/>
          <w:szCs w:val="28"/>
        </w:rPr>
      </w:pPr>
      <w:r>
        <w:rPr>
          <w:rFonts w:cs="Times New Roman" w:ascii="Times New Roman" w:hAnsi="Times New Roman"/>
          <w:color w:val="auto"/>
          <w:sz w:val="28"/>
          <w:szCs w:val="28"/>
        </w:rPr>
        <w:t>- Kết luận số 209-KL/TW ngày 11/11/2025 của Bộ Chính trị về chủ trương xây dựng Nghị quyết của Quốc hội quy định một số cơ chế, chính sách tháo gỡ khó khăn, vướng mắc trong tổ chức thi hành Luật Đất đai;</w:t>
      </w:r>
    </w:p>
    <w:p>
      <w:pPr>
        <w:pStyle w:val="Normal"/>
        <w:spacing w:lineRule="exact" w:line="340" w:before="120" w:after="120"/>
        <w:ind w:firstLine="709"/>
        <w:jc w:val="both"/>
        <w:rPr>
          <w:rFonts w:ascii="Times New Roman" w:hAnsi="Times New Roman" w:cs="Times New Roman"/>
          <w:color w:val="auto"/>
          <w:sz w:val="28"/>
          <w:szCs w:val="28"/>
        </w:rPr>
      </w:pPr>
      <w:r>
        <w:rPr>
          <w:rFonts w:cs="Times New Roman" w:ascii="Times New Roman" w:hAnsi="Times New Roman"/>
          <w:color w:val="auto"/>
          <w:sz w:val="28"/>
          <w:szCs w:val="28"/>
        </w:rPr>
        <w:t>- Kết luận số 93/KL-TW ngày 26/8/2024 của Bộ Chính trị về tiếp tục đổi mới cơ chế phân cấp quản lý, phân bổ ngân sách nhà nước để đảm bảo vai trò chủ đạo của ngân sách trung ương và chủ động của ngân sách địa phương;</w:t>
      </w:r>
    </w:p>
    <w:p>
      <w:pPr>
        <w:pStyle w:val="Normal"/>
        <w:spacing w:lineRule="exact" w:line="340" w:before="120" w:after="120"/>
        <w:ind w:firstLine="709"/>
        <w:jc w:val="both"/>
        <w:rPr>
          <w:rFonts w:ascii="Times New Roman" w:hAnsi="Times New Roman" w:cs="Times New Roman"/>
          <w:color w:val="auto"/>
          <w:sz w:val="28"/>
          <w:szCs w:val="28"/>
        </w:rPr>
      </w:pPr>
      <w:r>
        <w:rPr>
          <w:rFonts w:cs="Times New Roman" w:ascii="Times New Roman" w:hAnsi="Times New Roman"/>
          <w:color w:val="auto"/>
          <w:sz w:val="28"/>
          <w:szCs w:val="28"/>
        </w:rPr>
        <w:t>- Thông báo số 93-TB/VPTW ngày 15/6/2026 của Văn phòng Trung ương Đảng thông báo Kết luận của Đồng chí Tổng Bí thư, Chủ tịch nước tại buổi làm việc với Đảng ủy Chính phủ về sơ kết Nghị quyết số 18-NQ/TW của Ban Chấp hành Trung ương Đảng khóa XIII về quản lý và sử dụng đất; quan điểm, định hướng sửa đổi Luật Đất đai;</w:t>
      </w:r>
    </w:p>
    <w:p>
      <w:pPr>
        <w:pStyle w:val="Normal"/>
        <w:spacing w:lineRule="exact" w:line="340" w:before="120" w:after="120"/>
        <w:ind w:firstLine="709"/>
        <w:jc w:val="both"/>
        <w:rPr>
          <w:rFonts w:ascii="Times New Roman" w:hAnsi="Times New Roman" w:cs="Times New Roman"/>
          <w:color w:val="auto"/>
          <w:sz w:val="28"/>
          <w:szCs w:val="28"/>
        </w:rPr>
      </w:pPr>
      <w:r>
        <w:rPr>
          <w:rFonts w:cs="Times New Roman" w:ascii="Times New Roman" w:hAnsi="Times New Roman"/>
          <w:color w:val="auto"/>
          <w:sz w:val="28"/>
          <w:szCs w:val="28"/>
        </w:rPr>
        <w:t>- Quy định số 178-QĐ/TW ngày 27/6/2024 của Bộ Chính trị về</w:t>
        <w:br/>
        <w:t>kiểm soát quyền lực, phòng, chống tham nhũng, tiêu cực trong công tác xây dựng pháp luật;</w:t>
      </w:r>
    </w:p>
    <w:p>
      <w:pPr>
        <w:pStyle w:val="Normal"/>
        <w:spacing w:lineRule="exact" w:line="340" w:before="120" w:after="120"/>
        <w:ind w:firstLine="709"/>
        <w:jc w:val="both"/>
        <w:rPr>
          <w:rFonts w:ascii="Times New Roman" w:hAnsi="Times New Roman" w:cs="Times New Roman"/>
          <w:color w:val="auto"/>
          <w:sz w:val="28"/>
          <w:szCs w:val="28"/>
        </w:rPr>
      </w:pPr>
      <w:r>
        <w:rPr>
          <w:rFonts w:cs="Times New Roman" w:ascii="Times New Roman" w:hAnsi="Times New Roman"/>
          <w:color w:val="auto"/>
          <w:sz w:val="28"/>
          <w:szCs w:val="28"/>
        </w:rPr>
        <w:t>- Thông báo số 08-TB/BCĐTW ngày 08/8/2025 thông báo kết</w:t>
        <w:br/>
        <w:t>luận của đồng chí Tổng Bí thư Tô Lâm, Trưởng ban Chỉ đạo Trung ương về hoàn thiện thể chế, pháp luật tại Phiên họp của Ban Chỉ đạo;</w:t>
      </w:r>
    </w:p>
    <w:p>
      <w:pPr>
        <w:pStyle w:val="Normal"/>
        <w:spacing w:lineRule="exact" w:line="340" w:before="120" w:after="120"/>
        <w:ind w:firstLine="709"/>
        <w:jc w:val="both"/>
        <w:rPr>
          <w:rFonts w:ascii="Times New Roman" w:hAnsi="Times New Roman" w:cs="Times New Roman"/>
          <w:color w:val="auto"/>
          <w:sz w:val="28"/>
          <w:szCs w:val="28"/>
        </w:rPr>
      </w:pPr>
      <w:r>
        <w:rPr>
          <w:rFonts w:cs="Times New Roman" w:ascii="Times New Roman" w:hAnsi="Times New Roman"/>
          <w:color w:val="auto"/>
          <w:spacing w:val="-6"/>
          <w:sz w:val="28"/>
          <w:szCs w:val="28"/>
        </w:rPr>
        <w:t>- Nghị quyết số 192/2025/QH15 ngày 19/02/2025 của Quốc hội về bổ sung Kế hoạch phát triển kinh tế - xã hội năm 2025 với mục tiêu tăng trưởng đạt 8% trở lên</w:t>
      </w:r>
      <w:r>
        <w:rPr>
          <w:rFonts w:cs="Times New Roman" w:ascii="Times New Roman" w:hAnsi="Times New Roman"/>
          <w:color w:val="auto"/>
          <w:sz w:val="28"/>
          <w:szCs w:val="28"/>
        </w:rPr>
        <w:t>;</w:t>
      </w:r>
    </w:p>
    <w:p>
      <w:pPr>
        <w:pStyle w:val="Normal"/>
        <w:spacing w:lineRule="exact" w:line="340" w:before="120" w:after="120"/>
        <w:ind w:firstLine="709"/>
        <w:jc w:val="both"/>
        <w:rPr>
          <w:rFonts w:ascii="Times New Roman" w:hAnsi="Times New Roman" w:cs="Times New Roman"/>
          <w:bCs/>
          <w:color w:val="auto"/>
          <w:spacing w:val="-2"/>
          <w:sz w:val="28"/>
          <w:szCs w:val="28"/>
          <w:lang w:val="pt-BR" w:eastAsia="en-US"/>
        </w:rPr>
      </w:pPr>
      <w:r>
        <w:rPr>
          <w:rFonts w:cs="Times New Roman" w:ascii="Times New Roman" w:hAnsi="Times New Roman"/>
          <w:color w:val="auto"/>
          <w:sz w:val="28"/>
          <w:szCs w:val="28"/>
        </w:rPr>
        <w:t xml:space="preserve">- Nghị quyết số 206/2025/QH15 ngày 24/6/2025 của Quốc hội về cơ chế đặc biệt xử lý khó khăn, vướng mắc do quy định của pháp luật có quy định: </w:t>
      </w:r>
      <w:r>
        <w:rPr>
          <w:rFonts w:cs="Times New Roman" w:ascii="Times New Roman" w:hAnsi="Times New Roman"/>
          <w:bCs/>
          <w:color w:val="auto"/>
          <w:spacing w:val="-2"/>
          <w:sz w:val="28"/>
          <w:szCs w:val="28"/>
          <w:lang w:val="pt-BR" w:eastAsia="en-US"/>
        </w:rPr>
        <w:t>“</w:t>
      </w:r>
      <w:r>
        <w:rPr>
          <w:rFonts w:cs="Times New Roman" w:ascii="Times New Roman" w:hAnsi="Times New Roman"/>
          <w:bCs/>
          <w:i/>
          <w:iCs/>
          <w:color w:val="auto"/>
          <w:spacing w:val="-2"/>
          <w:sz w:val="28"/>
          <w:szCs w:val="28"/>
          <w:lang w:val="pt-BR" w:eastAsia="en-US"/>
        </w:rPr>
        <w:t>Trong thời gian luật, nghị quyết của Quốc hội chưa được sửa đổi, bổ sung, thay thế..., Chính phủ được ban hành nghị quyết quy phạm pháp luật để điều chỉnh một số quy định của luật, nghị quyết do Chính phủ trình, báo cáo Ủy ban Thường vụ Quốc hội, Quốc hội tại phiên họp, kỳ họp gần nhất.... Nghị quyết của Chính phủ phải xác định rõ thời điểm hết hiệu lực thi hành nhưng phải trước ngày 01 tháng 3 năm 2027</w:t>
      </w:r>
      <w:r>
        <w:rPr>
          <w:rFonts w:cs="Times New Roman" w:ascii="Times New Roman" w:hAnsi="Times New Roman"/>
          <w:bCs/>
          <w:color w:val="auto"/>
          <w:spacing w:val="-2"/>
          <w:sz w:val="28"/>
          <w:szCs w:val="28"/>
          <w:lang w:val="pt-BR" w:eastAsia="en-US"/>
        </w:rPr>
        <w:t>”</w:t>
      </w:r>
      <w:r>
        <w:rPr>
          <w:rFonts w:cs="Times New Roman" w:ascii="Times New Roman" w:hAnsi="Times New Roman"/>
          <w:color w:val="auto"/>
          <w:sz w:val="28"/>
          <w:szCs w:val="28"/>
        </w:rPr>
        <w:t>;</w:t>
      </w:r>
    </w:p>
    <w:p>
      <w:pPr>
        <w:pStyle w:val="Normal"/>
        <w:spacing w:lineRule="exact" w:line="340" w:before="120" w:after="120"/>
        <w:ind w:firstLine="709"/>
        <w:jc w:val="both"/>
        <w:rPr>
          <w:rStyle w:val="fontstyle01"/>
          <w:color w:val="auto"/>
          <w:lang w:val="pt-BR"/>
        </w:rPr>
      </w:pPr>
      <w:r>
        <w:rPr>
          <w:rStyle w:val="fontstyle01"/>
          <w:color w:val="auto"/>
        </w:rPr>
        <w:t>- Nghị quyết số 254/2025/QH15 ngày 11/12/2025</w:t>
      </w:r>
      <w:r>
        <w:rPr>
          <w:rFonts w:cs="Times New Roman" w:ascii="Times New Roman" w:hAnsi="Times New Roman"/>
          <w:color w:val="auto"/>
          <w:sz w:val="28"/>
          <w:szCs w:val="28"/>
        </w:rPr>
        <w:t xml:space="preserve"> của Quốc hội </w:t>
      </w:r>
      <w:r>
        <w:rPr>
          <w:rStyle w:val="fontstyle01"/>
          <w:color w:val="auto"/>
        </w:rPr>
        <w:t>quy định một số cơ chế, chính sách tháo gỡ khó khăn, vướng mắc trong tổ chức thi hành Luật Đất đai</w:t>
      </w:r>
      <w:r>
        <w:rPr>
          <w:rStyle w:val="fontstyle01"/>
          <w:color w:val="auto"/>
          <w:lang w:val="pt-BR"/>
        </w:rPr>
        <w:t>;</w:t>
      </w:r>
    </w:p>
    <w:p>
      <w:pPr>
        <w:pStyle w:val="Normal"/>
        <w:spacing w:lineRule="exact" w:line="340" w:before="120" w:after="120"/>
        <w:ind w:firstLine="709"/>
        <w:jc w:val="both"/>
        <w:rPr>
          <w:rStyle w:val="fontstyle01"/>
          <w:color w:val="auto"/>
        </w:rPr>
      </w:pPr>
      <w:r>
        <w:rPr>
          <w:rFonts w:cs="Times New Roman" w:ascii="Times New Roman" w:hAnsi="Times New Roman"/>
          <w:color w:val="auto"/>
          <w:sz w:val="28"/>
          <w:szCs w:val="28"/>
          <w:lang w:val="pt-BR"/>
        </w:rPr>
        <w:t>- Nghị quyết số 26/2026/QH16 ngày 24/4/2026 của Quốc hội về kế hoạch tài chính quốc gia và vay, trả nợ công 5 năm giai đoạn 2026-2030</w:t>
      </w:r>
      <w:r>
        <w:rPr>
          <w:rStyle w:val="FootnoteReference"/>
          <w:rFonts w:cs="Times New Roman" w:ascii="Times New Roman" w:hAnsi="Times New Roman"/>
          <w:color w:val="auto"/>
          <w:sz w:val="28"/>
          <w:szCs w:val="28"/>
          <w:vertAlign w:val="superscript"/>
          <w:lang w:val="en-US"/>
        </w:rPr>
        <w:footnoteReference w:id="2"/>
      </w:r>
      <w:r>
        <w:rPr>
          <w:rFonts w:cs="Times New Roman" w:ascii="Times New Roman" w:hAnsi="Times New Roman"/>
          <w:color w:val="auto"/>
          <w:sz w:val="28"/>
          <w:szCs w:val="28"/>
          <w:lang w:val="pt-BR"/>
        </w:rPr>
        <w:t>;</w:t>
      </w:r>
    </w:p>
    <w:p>
      <w:pPr>
        <w:pStyle w:val="Normal"/>
        <w:spacing w:lineRule="exact" w:line="340" w:before="120" w:after="120"/>
        <w:ind w:firstLine="709"/>
        <w:jc w:val="both"/>
        <w:rPr>
          <w:rFonts w:ascii="Times New Roman" w:hAnsi="Times New Roman" w:cs="Times New Roman"/>
          <w:color w:val="auto"/>
          <w:sz w:val="28"/>
          <w:szCs w:val="28"/>
        </w:rPr>
      </w:pPr>
      <w:r>
        <w:rPr>
          <w:rFonts w:cs="Times New Roman" w:ascii="Times New Roman" w:hAnsi="Times New Roman"/>
          <w:color w:val="auto"/>
          <w:sz w:val="28"/>
          <w:szCs w:val="28"/>
        </w:rPr>
        <w:t xml:space="preserve">- Luật Ban hành văn bản quy phạm pháp luật năm 2025, trong đó khoản 1 Điều 27 đã quy định </w:t>
      </w:r>
      <w:r>
        <w:rPr>
          <w:rFonts w:cs="Times New Roman" w:ascii="Times New Roman" w:hAnsi="Times New Roman"/>
          <w:bCs/>
          <w:color w:val="auto"/>
          <w:sz w:val="28"/>
          <w:szCs w:val="28"/>
          <w:lang w:val="zu-ZA" w:eastAsia="en-US"/>
        </w:rPr>
        <w:t>Cơ quan trình có trách nhiệm tổ chức thực hiện quy trình xây dựng chính sách trước khi soạn thảo trong trường hợp xây dựng luật mới, luật thay thế các luật hiện hành;</w:t>
      </w:r>
    </w:p>
    <w:p>
      <w:pPr>
        <w:pStyle w:val="Normal"/>
        <w:spacing w:lineRule="exact" w:line="340" w:before="120" w:after="120"/>
        <w:ind w:firstLine="709"/>
        <w:jc w:val="both"/>
        <w:rPr>
          <w:rFonts w:ascii="Times New Roman" w:hAnsi="Times New Roman" w:cs="Times New Roman"/>
          <w:color w:val="auto"/>
          <w:sz w:val="28"/>
          <w:szCs w:val="28"/>
        </w:rPr>
      </w:pPr>
      <w:r>
        <w:rPr>
          <w:rFonts w:cs="Times New Roman" w:ascii="Times New Roman" w:hAnsi="Times New Roman"/>
          <w:color w:val="auto"/>
          <w:sz w:val="28"/>
          <w:szCs w:val="28"/>
        </w:rPr>
        <w:t>- Luật Tổ chức Chính phủ năm 2025;</w:t>
      </w:r>
    </w:p>
    <w:p>
      <w:pPr>
        <w:pStyle w:val="Normal"/>
        <w:spacing w:lineRule="exact" w:line="340" w:before="120" w:after="120"/>
        <w:ind w:firstLine="709"/>
        <w:jc w:val="both"/>
        <w:rPr>
          <w:rFonts w:ascii="Times New Roman" w:hAnsi="Times New Roman" w:cs="Times New Roman"/>
          <w:color w:val="auto"/>
          <w:sz w:val="28"/>
          <w:szCs w:val="28"/>
        </w:rPr>
      </w:pPr>
      <w:r>
        <w:rPr>
          <w:rFonts w:cs="Times New Roman" w:ascii="Times New Roman" w:hAnsi="Times New Roman"/>
          <w:color w:val="auto"/>
          <w:sz w:val="28"/>
          <w:szCs w:val="28"/>
        </w:rPr>
        <w:t>- Luật Tổ chức chính quyền địa phương năm 2025;</w:t>
      </w:r>
    </w:p>
    <w:p>
      <w:pPr>
        <w:pStyle w:val="Normal"/>
        <w:spacing w:lineRule="exact" w:line="340" w:before="120" w:after="120"/>
        <w:ind w:firstLine="709"/>
        <w:jc w:val="both"/>
        <w:rPr>
          <w:rFonts w:ascii="Times New Roman" w:hAnsi="Times New Roman" w:cs="Times New Roman"/>
          <w:color w:val="auto"/>
          <w:sz w:val="28"/>
          <w:szCs w:val="28"/>
        </w:rPr>
      </w:pPr>
      <w:r>
        <w:rPr>
          <w:rFonts w:cs="Times New Roman" w:ascii="Times New Roman" w:hAnsi="Times New Roman"/>
          <w:color w:val="auto"/>
          <w:sz w:val="28"/>
          <w:szCs w:val="28"/>
        </w:rPr>
        <w:t>- Nghị quyết số 190/2025/QH15 ngày 19/02/2025 của Quốc hội quy định về việc xử lý một số vấn đề liên quan đến sắp xếp tổ chức bộ máy nhà nước, trong đó đã yêu cầu: “</w:t>
      </w:r>
      <w:r>
        <w:rPr>
          <w:rFonts w:cs="Times New Roman" w:ascii="Times New Roman" w:hAnsi="Times New Roman"/>
          <w:i/>
          <w:color w:val="auto"/>
          <w:sz w:val="28"/>
          <w:szCs w:val="28"/>
        </w:rPr>
        <w:t>Cơ quan, người có thẩm quyền phải ban hành văn bản quy phạm pháp luật theo thẩm quyền hoặc trình cấp có thẩm quyền ban hành văn bản quy phạm pháp luật theo trình tự, thủ tục rút gọn để xử lý các văn bản chịu sự tác động do sắp xếp tổ chức bộ máy nhà nước, bảo đảm hoàn thành trước ngày 01 tháng 3 năm 2027</w:t>
      </w:r>
      <w:r>
        <w:rPr>
          <w:rFonts w:cs="Times New Roman" w:ascii="Times New Roman" w:hAnsi="Times New Roman"/>
          <w:color w:val="auto"/>
          <w:sz w:val="28"/>
          <w:szCs w:val="28"/>
        </w:rPr>
        <w:t>”;</w:t>
      </w:r>
    </w:p>
    <w:p>
      <w:pPr>
        <w:pStyle w:val="Normal"/>
        <w:spacing w:lineRule="exact" w:line="340" w:before="120" w:after="120"/>
        <w:ind w:firstLine="709"/>
        <w:jc w:val="both"/>
        <w:rPr>
          <w:rFonts w:ascii="Times New Roman" w:hAnsi="Times New Roman" w:cs="Times New Roman"/>
          <w:color w:val="auto"/>
          <w:sz w:val="28"/>
          <w:szCs w:val="28"/>
        </w:rPr>
      </w:pPr>
      <w:r>
        <w:rPr>
          <w:rFonts w:cs="Times New Roman" w:ascii="Times New Roman" w:hAnsi="Times New Roman"/>
          <w:color w:val="auto"/>
          <w:sz w:val="28"/>
          <w:szCs w:val="28"/>
        </w:rPr>
        <w:t xml:space="preserve">- Hồ sơ Đề án sơ kết Nghị quyết số 18-NQ/TW ngày 16/6/2022 của Ban chấp hành Trung ương Đảng khóa XIII về tiếp tục đổi mới, hoàn thiện thể chế, chính sách, nâng cao hiệu lực, hiệu quả quản lý và sử dụng đất, tạo động lực đưa nước ta trở thành nước phát triển có thu nhập cao; quan điểm, định hướng sửa đổi Luật Đất đai </w:t>
      </w:r>
      <w:r>
        <w:rPr>
          <w:rFonts w:cs="Times New Roman" w:ascii="Times New Roman" w:hAnsi="Times New Roman"/>
          <w:i/>
          <w:color w:val="auto"/>
          <w:sz w:val="28"/>
          <w:szCs w:val="28"/>
          <w:lang w:val="pt-BR"/>
        </w:rPr>
        <w:t>và các luật có liên quan</w:t>
      </w:r>
      <w:r>
        <w:rPr>
          <w:rFonts w:cs="Times New Roman" w:ascii="Times New Roman" w:hAnsi="Times New Roman"/>
          <w:color w:val="auto"/>
          <w:sz w:val="28"/>
          <w:szCs w:val="28"/>
        </w:rPr>
        <w:t xml:space="preserve">” đã tiếp thu ý kiến của Đồng chí Tổng Bí thư, Chủ tịch nước, ý kiến của Bộ Chính trị (2 lần) và các Đồng chí Ủy viên Trung ương Đảng, </w:t>
      </w:r>
      <w:r>
        <w:rPr>
          <w:rFonts w:cs="Times New Roman" w:ascii="Times New Roman" w:hAnsi="Times New Roman"/>
          <w:iCs/>
          <w:color w:val="auto"/>
          <w:spacing w:val="-4"/>
          <w:sz w:val="28"/>
          <w:szCs w:val="28"/>
          <w:lang w:val="pt-BR"/>
        </w:rPr>
        <w:t>Đảng ủy Bộ Nông nghiệp và Môi trường đang trình Đảng ủy Chính phủ ngày 14/7/2026 xem xét để trình Ban Chấp hành Trung ương Đảng</w:t>
      </w:r>
      <w:r>
        <w:rPr>
          <w:rStyle w:val="FootnoteReference"/>
          <w:rFonts w:cs="Times New Roman" w:ascii="Times New Roman" w:hAnsi="Times New Roman"/>
          <w:iCs/>
          <w:color w:val="auto"/>
          <w:spacing w:val="-4"/>
          <w:sz w:val="28"/>
          <w:szCs w:val="28"/>
          <w:lang w:val="pt-BR"/>
        </w:rPr>
        <w:footnoteReference w:id="3"/>
      </w:r>
      <w:r>
        <w:rPr>
          <w:rFonts w:cs="Times New Roman" w:ascii="Times New Roman" w:hAnsi="Times New Roman"/>
          <w:iCs/>
          <w:color w:val="auto"/>
          <w:spacing w:val="-4"/>
          <w:sz w:val="28"/>
          <w:szCs w:val="28"/>
          <w:lang w:val="pt-BR"/>
        </w:rPr>
        <w:t>.</w:t>
      </w:r>
    </w:p>
    <w:p>
      <w:pPr>
        <w:pStyle w:val="Normal"/>
        <w:numPr>
          <w:ilvl w:val="0"/>
          <w:numId w:val="0"/>
        </w:numPr>
        <w:spacing w:lineRule="exact" w:line="340" w:before="120" w:after="120"/>
        <w:ind w:firstLine="709"/>
        <w:jc w:val="both"/>
        <w:outlineLvl w:val="1"/>
        <w:rPr>
          <w:rFonts w:ascii="Times New Roman" w:hAnsi="Times New Roman" w:cs="Times New Roman"/>
          <w:b/>
          <w:i/>
          <w:color w:val="auto"/>
          <w:sz w:val="28"/>
          <w:szCs w:val="28"/>
        </w:rPr>
      </w:pPr>
      <w:r>
        <w:rPr>
          <w:rFonts w:cs="Times New Roman" w:ascii="Times New Roman" w:hAnsi="Times New Roman"/>
          <w:b/>
          <w:i/>
          <w:color w:val="auto"/>
          <w:sz w:val="28"/>
          <w:szCs w:val="28"/>
        </w:rPr>
        <w:t>2. Cơ sở thực tiễn</w:t>
        <w:tab/>
      </w:r>
    </w:p>
    <w:p>
      <w:pPr>
        <w:pStyle w:val="Normal"/>
        <w:spacing w:lineRule="exact" w:line="340" w:before="120" w:after="120"/>
        <w:ind w:firstLine="709"/>
        <w:jc w:val="both"/>
        <w:rPr>
          <w:rFonts w:ascii="Times New Roman" w:hAnsi="Times New Roman" w:cs="Times New Roman"/>
          <w:color w:val="auto"/>
          <w:sz w:val="28"/>
          <w:szCs w:val="28"/>
          <w:lang w:eastAsia="en-US"/>
        </w:rPr>
      </w:pPr>
      <w:r>
        <w:rPr>
          <w:rFonts w:cs="Times New Roman" w:ascii="Times New Roman" w:hAnsi="Times New Roman"/>
          <w:color w:val="auto"/>
          <w:sz w:val="28"/>
          <w:szCs w:val="28"/>
          <w:lang w:eastAsia="en-US"/>
        </w:rPr>
        <w:t>a</w:t>
      </w:r>
      <w:r>
        <w:rPr>
          <w:rFonts w:cs="Times New Roman" w:ascii="Times New Roman" w:hAnsi="Times New Roman"/>
          <w:color w:val="auto"/>
          <w:spacing w:val="-4"/>
          <w:sz w:val="28"/>
          <w:szCs w:val="28"/>
          <w:lang w:eastAsia="en-US"/>
        </w:rPr>
        <w:t>) Luật Đất đai năm 2024 và các văn bản quy định chi tiết thi hành Luật có nhiều nội dung mới mang tính đột phá, quan trọng góp phần vào mục tiêu hoàn thiện thể chế, chính sách, nâng cao hiệu lực, hiệu quả quản lý và sử dụng đất như: quy hoạch, kế hoạch sử dụng đất; thu hồi, bồi thường, hỗ trợ, tái định cư; giao đất, cho thuê đất, cho phép chuyển mục đích sử dụng đất; tài chính đất đai, giá đất; đăng ký đất đai, cấp Giấy chứng nhận quyền sử dụng đất, quyền sở hữu tài sản gắn liền với đất; chính sách đất đai đối với đồng bào dân tộc thiểu số; xây dựng hệ thống thông tin, cơ sở dữ liệu về đất đai; đẩy mạnh phân cấp, phân quyền, cải cách thủ tục hành chính trong lĩnh vực đất đai, nâng cao trách nhiệm của chính quyền địa phương các cấp trong quản lý, sử dụng đất đai… Hệ thống pháp luật về đất đai đã kịp thời thể chế đường lối, chủ trương đổi mới của Đảng về chính sách đất đai</w:t>
      </w:r>
      <w:r>
        <w:rPr>
          <w:rFonts w:cs="Times New Roman" w:ascii="Times New Roman" w:hAnsi="Times New Roman"/>
          <w:color w:val="auto"/>
          <w:sz w:val="28"/>
          <w:szCs w:val="28"/>
          <w:lang w:eastAsia="en-US"/>
        </w:rPr>
        <w:t xml:space="preserve">. </w:t>
      </w:r>
    </w:p>
    <w:p>
      <w:pPr>
        <w:pStyle w:val="Normal"/>
        <w:spacing w:lineRule="exact" w:line="340" w:before="120" w:after="120"/>
        <w:ind w:firstLine="709"/>
        <w:jc w:val="both"/>
        <w:rPr>
          <w:rFonts w:ascii="Times New Roman" w:hAnsi="Times New Roman" w:cs="Times New Roman"/>
          <w:bCs/>
          <w:color w:val="auto"/>
          <w:sz w:val="28"/>
          <w:szCs w:val="28"/>
          <w:lang w:eastAsia="en-US"/>
        </w:rPr>
      </w:pPr>
      <w:r>
        <w:rPr>
          <w:rFonts w:cs="Times New Roman" w:ascii="Times New Roman" w:hAnsi="Times New Roman"/>
          <w:bCs/>
          <w:color w:val="auto"/>
          <w:sz w:val="28"/>
          <w:szCs w:val="28"/>
        </w:rPr>
        <w:t xml:space="preserve">b) Trong thời gian đầu tổ chức thi hành </w:t>
      </w:r>
      <w:r>
        <w:rPr>
          <w:rStyle w:val="fontstyle01"/>
          <w:color w:val="auto"/>
        </w:rPr>
        <w:t xml:space="preserve">Luật Đất đai năm 2024, bên cạnh những điểm mới của Luật, thực tiễn phát sinh một số khó khăn, vướng mắc trong tổ chức thi hành Luật Đất đai; do vậy, </w:t>
      </w:r>
      <w:r>
        <w:rPr>
          <w:rFonts w:cs="Times New Roman" w:ascii="Times New Roman" w:hAnsi="Times New Roman"/>
          <w:bCs/>
          <w:color w:val="auto"/>
          <w:sz w:val="28"/>
          <w:szCs w:val="28"/>
        </w:rPr>
        <w:t xml:space="preserve">Quốc hội, </w:t>
      </w:r>
      <w:r>
        <w:rPr>
          <w:rFonts w:cs="Times New Roman" w:ascii="Times New Roman" w:hAnsi="Times New Roman"/>
          <w:bCs/>
          <w:color w:val="auto"/>
          <w:sz w:val="28"/>
          <w:szCs w:val="28"/>
          <w:lang w:eastAsia="en-US"/>
        </w:rPr>
        <w:t>Chính phủ tiếp tục ban hành các văn bản sửa đổi, bổ sung, quy định chi tiết Luật Đất đai năm 2024 theo 03 nhóm nội dung sau:</w:t>
      </w:r>
    </w:p>
    <w:p>
      <w:pPr>
        <w:pStyle w:val="Normal"/>
        <w:spacing w:lineRule="exact" w:line="340" w:before="120" w:after="120"/>
        <w:ind w:firstLine="709"/>
        <w:jc w:val="both"/>
        <w:rPr>
          <w:rFonts w:ascii="Times New Roman" w:hAnsi="Times New Roman" w:cs="Times New Roman"/>
          <w:color w:val="auto"/>
          <w:spacing w:val="-2"/>
          <w:sz w:val="28"/>
          <w:szCs w:val="28"/>
          <w:lang w:val="pl-PL"/>
        </w:rPr>
      </w:pPr>
      <w:r>
        <w:rPr>
          <w:rFonts w:cs="Times New Roman" w:ascii="Times New Roman" w:hAnsi="Times New Roman"/>
          <w:bCs/>
          <w:i/>
          <w:iCs/>
          <w:color w:val="auto"/>
          <w:sz w:val="28"/>
          <w:szCs w:val="28"/>
          <w:lang w:eastAsia="en-US"/>
        </w:rPr>
        <w:t xml:space="preserve">(1) Các quy định về một số cơ chế, chính sách tháo gỡ khó khăn, vướng mắc trong tổ chức thi hành Luật Đất đai: </w:t>
      </w:r>
      <w:r>
        <w:rPr>
          <w:rFonts w:cs="Times New Roman" w:ascii="Times New Roman" w:hAnsi="Times New Roman"/>
          <w:bCs/>
          <w:color w:val="auto"/>
          <w:sz w:val="28"/>
          <w:szCs w:val="28"/>
          <w:lang w:eastAsia="en-US"/>
        </w:rPr>
        <w:t>Quốc hội ban hành các nghị quyết: số 254/2025/QH15, số 170/2024/QH15, số 171/2024/QH15, số 29/2026/QH16; Chính phủ ban hành các nghị định: số 75/2025/NĐ-CP, số 76/2025/NĐ-CP, số 226/2025/NĐ-CP, số 49/2026/NĐ-CP, số 50/2026/NĐ-CP, số 147/2026/NĐ-CP  và Nghị quyết số 66.3/2025/NQ-CP, 66.19/2026/NQ-CP, 66.11/2026/NQ-CP... để tháo gỡ khó khăn, vướng mắc được chỉ ra</w:t>
      </w:r>
      <w:r>
        <w:rPr>
          <w:rFonts w:cs="Times New Roman" w:ascii="Times New Roman" w:hAnsi="Times New Roman"/>
          <w:color w:val="auto"/>
          <w:sz w:val="28"/>
          <w:szCs w:val="28"/>
        </w:rPr>
        <w:t xml:space="preserve"> trong quá trình thi hành Luật Đất đai; giải quyết các “điểm nghẽn” do quy định của pháp luật về đất đai được chỉ ra tại Thông báo số 08-TB/BCĐTW ngày 08/8/2025 của Ban Chỉ đạo Trung ương về hoàn thiện thể chế, pháp luật; tháo </w:t>
      </w:r>
      <w:r>
        <w:rPr>
          <w:rFonts w:cs="Times New Roman" w:ascii="Times New Roman" w:hAnsi="Times New Roman"/>
          <w:color w:val="auto"/>
          <w:spacing w:val="-2"/>
          <w:sz w:val="28"/>
          <w:szCs w:val="28"/>
        </w:rPr>
        <w:t xml:space="preserve">gỡ khó khăn, vướng mắc đối với các dự án, đất đai trong kết luận thanh tra, kiểm tra, bản án tại Thành phố Hồ Chí Minh, thành phố Đà Nẵng và tỉnh Khánh Hòa; thí điểm thực hiện dự án nhà ở thương mại thông qua thỏa thuận về nhận quyền sử dụng đất hoặc đang có quyền sử dụng đất trên phạm vi toàn quốc. Các Nghị quyết của Chính phủ được ban hành </w:t>
      </w:r>
      <w:r>
        <w:rPr>
          <w:rFonts w:cs="Times New Roman" w:ascii="Times New Roman" w:hAnsi="Times New Roman"/>
          <w:bCs/>
          <w:iCs/>
          <w:color w:val="auto"/>
          <w:sz w:val="28"/>
          <w:szCs w:val="28"/>
          <w:lang w:eastAsia="en-US"/>
        </w:rPr>
        <w:t xml:space="preserve">điều chỉnh một số quy định của Luật Đất đai theo quy định tại khoản 2 Điều 4 của </w:t>
      </w:r>
      <w:r>
        <w:rPr>
          <w:rFonts w:cs="Times New Roman" w:ascii="Times New Roman" w:hAnsi="Times New Roman"/>
          <w:color w:val="auto"/>
          <w:sz w:val="28"/>
          <w:szCs w:val="28"/>
        </w:rPr>
        <w:t>Nghị quyết số 206/2025/QH15 ngày 24/6/2025 của Quốc hội về cơ chế đặc biệt xử lý khó khăn, vướng mắc do quy định của pháp luật và quy định này được thực hiện đến hết ngày 28/02/2027</w:t>
      </w:r>
      <w:r>
        <w:rPr>
          <w:rFonts w:cs="Times New Roman" w:ascii="Times New Roman" w:hAnsi="Times New Roman"/>
          <w:color w:val="auto"/>
          <w:sz w:val="28"/>
          <w:szCs w:val="28"/>
          <w:lang w:val="pl-PL"/>
        </w:rPr>
        <w:t>. Chính vì vậy, t</w:t>
      </w:r>
      <w:r>
        <w:rPr>
          <w:rFonts w:cs="Times New Roman" w:ascii="Times New Roman" w:hAnsi="Times New Roman"/>
          <w:color w:val="auto"/>
          <w:sz w:val="28"/>
          <w:szCs w:val="28"/>
        </w:rPr>
        <w:t xml:space="preserve">ại </w:t>
      </w:r>
      <w:bookmarkStart w:id="0" w:name="khoan_4_6"/>
      <w:r>
        <w:rPr>
          <w:rFonts w:cs="Times New Roman" w:ascii="Times New Roman" w:hAnsi="Times New Roman"/>
          <w:color w:val="auto"/>
          <w:sz w:val="28"/>
          <w:szCs w:val="28"/>
        </w:rPr>
        <w:t>k</w:t>
      </w:r>
      <w:r>
        <w:rPr>
          <w:rFonts w:cs="Times New Roman" w:ascii="Times New Roman" w:hAnsi="Times New Roman"/>
          <w:bCs/>
          <w:iCs/>
          <w:color w:val="auto"/>
          <w:sz w:val="28"/>
          <w:szCs w:val="28"/>
          <w:lang w:eastAsia="en-US"/>
        </w:rPr>
        <w:t xml:space="preserve">hoản 4 Điều 6 Nghị quyết </w:t>
      </w:r>
      <w:r>
        <w:rPr>
          <w:rFonts w:cs="Times New Roman" w:ascii="Times New Roman" w:hAnsi="Times New Roman"/>
          <w:bCs/>
          <w:iCs/>
          <w:color w:val="auto"/>
          <w:sz w:val="28"/>
          <w:szCs w:val="28"/>
          <w:lang w:val="pl-PL" w:eastAsia="en-US"/>
        </w:rPr>
        <w:t xml:space="preserve">số 206/2025/QH15 </w:t>
      </w:r>
      <w:r>
        <w:rPr>
          <w:rFonts w:cs="Times New Roman" w:ascii="Times New Roman" w:hAnsi="Times New Roman"/>
          <w:bCs/>
          <w:iCs/>
          <w:color w:val="auto"/>
          <w:sz w:val="28"/>
          <w:szCs w:val="28"/>
          <w:lang w:eastAsia="en-US"/>
        </w:rPr>
        <w:t xml:space="preserve">đã giao </w:t>
      </w:r>
      <w:r>
        <w:rPr>
          <w:rFonts w:cs="Times New Roman" w:ascii="Times New Roman" w:hAnsi="Times New Roman"/>
          <w:bCs/>
          <w:i/>
          <w:color w:val="auto"/>
          <w:sz w:val="28"/>
          <w:szCs w:val="28"/>
          <w:lang w:eastAsia="en-US"/>
        </w:rPr>
        <w:t>“Cơ quan, người có thẩm quyền phải ban hành văn bản quy phạm pháp luật theo thẩm quyền hoặc trình cấp có thẩm quyền ban hành văn bản quy phạm pháp luật theo trình tự, thủ tục rút gọn quy định tại Luật Ban hành văn bản quy phạm pháp luật để xử lý các văn bản được điều chỉnh bởi nghị quyết của Chính phủ, Ủy ban Thường vụ Quốc hội quy định tại</w:t>
      </w:r>
      <w:bookmarkEnd w:id="0"/>
      <w:r>
        <w:rPr>
          <w:rFonts w:cs="Times New Roman" w:ascii="Times New Roman" w:hAnsi="Times New Roman"/>
          <w:bCs/>
          <w:i/>
          <w:color w:val="auto"/>
          <w:sz w:val="28"/>
          <w:szCs w:val="28"/>
          <w:lang w:eastAsia="en-US"/>
        </w:rPr>
        <w:t> </w:t>
      </w:r>
      <w:bookmarkStart w:id="1" w:name="tc_4"/>
      <w:r>
        <w:rPr>
          <w:rFonts w:cs="Times New Roman" w:ascii="Times New Roman" w:hAnsi="Times New Roman"/>
          <w:bCs/>
          <w:i/>
          <w:color w:val="auto"/>
          <w:sz w:val="28"/>
          <w:szCs w:val="28"/>
          <w:lang w:eastAsia="en-US"/>
        </w:rPr>
        <w:t>khoản 2 và khoản 3 Điều 4 của Nghị quyết này</w:t>
      </w:r>
      <w:bookmarkEnd w:id="1"/>
      <w:r>
        <w:rPr>
          <w:rFonts w:cs="Times New Roman" w:ascii="Times New Roman" w:hAnsi="Times New Roman"/>
          <w:bCs/>
          <w:i/>
          <w:color w:val="auto"/>
          <w:sz w:val="28"/>
          <w:szCs w:val="28"/>
          <w:lang w:eastAsia="en-US"/>
        </w:rPr>
        <w:t> </w:t>
      </w:r>
      <w:bookmarkStart w:id="2" w:name="khoan_4_6_name"/>
      <w:r>
        <w:rPr>
          <w:rFonts w:cs="Times New Roman" w:ascii="Times New Roman" w:hAnsi="Times New Roman"/>
          <w:bCs/>
          <w:i/>
          <w:color w:val="auto"/>
          <w:sz w:val="28"/>
          <w:szCs w:val="28"/>
          <w:u w:val="single"/>
          <w:lang w:eastAsia="en-US"/>
        </w:rPr>
        <w:t xml:space="preserve">trước ngày 01 tháng 3 năm </w:t>
      </w:r>
      <w:bookmarkEnd w:id="2"/>
      <w:r>
        <w:rPr>
          <w:rFonts w:cs="Times New Roman" w:ascii="Times New Roman" w:hAnsi="Times New Roman"/>
          <w:bCs/>
          <w:i/>
          <w:color w:val="auto"/>
          <w:sz w:val="28"/>
          <w:szCs w:val="28"/>
          <w:u w:val="single"/>
          <w:lang w:eastAsia="en-US"/>
        </w:rPr>
        <w:t>2027</w:t>
      </w:r>
      <w:r>
        <w:rPr>
          <w:rFonts w:cs="Times New Roman" w:ascii="Times New Roman" w:hAnsi="Times New Roman"/>
          <w:bCs/>
          <w:i/>
          <w:color w:val="auto"/>
          <w:sz w:val="28"/>
          <w:szCs w:val="28"/>
          <w:lang w:eastAsia="en-US"/>
        </w:rPr>
        <w:t>”.</w:t>
      </w:r>
      <w:r>
        <w:rPr>
          <w:rFonts w:cs="Times New Roman" w:ascii="Times New Roman" w:hAnsi="Times New Roman"/>
          <w:color w:val="auto"/>
          <w:sz w:val="28"/>
          <w:szCs w:val="28"/>
          <w:lang w:val="pl-PL"/>
        </w:rPr>
        <w:t xml:space="preserve"> </w:t>
      </w:r>
    </w:p>
    <w:p>
      <w:pPr>
        <w:pStyle w:val="Normal"/>
        <w:spacing w:lineRule="exact" w:line="340" w:before="120" w:after="120"/>
        <w:ind w:firstLine="709"/>
        <w:jc w:val="both"/>
        <w:rPr>
          <w:rFonts w:ascii="Times New Roman" w:hAnsi="Times New Roman" w:cs="Times New Roman"/>
          <w:color w:val="auto"/>
          <w:spacing w:val="-2"/>
          <w:sz w:val="28"/>
          <w:szCs w:val="28"/>
          <w:lang w:val="pl-PL"/>
        </w:rPr>
      </w:pPr>
      <w:r>
        <w:rPr>
          <w:rFonts w:cs="Times New Roman" w:ascii="Times New Roman" w:hAnsi="Times New Roman"/>
          <w:bCs/>
          <w:i/>
          <w:iCs/>
          <w:color w:val="auto"/>
          <w:spacing w:val="-2"/>
          <w:sz w:val="28"/>
          <w:szCs w:val="28"/>
          <w:lang w:val="pl-PL" w:eastAsia="en-US"/>
        </w:rPr>
        <w:t>(2) Các q</w:t>
      </w:r>
      <w:r>
        <w:rPr>
          <w:rFonts w:cs="Times New Roman" w:ascii="Times New Roman" w:hAnsi="Times New Roman"/>
          <w:bCs/>
          <w:i/>
          <w:iCs/>
          <w:color w:val="auto"/>
          <w:spacing w:val="-2"/>
          <w:sz w:val="28"/>
          <w:szCs w:val="28"/>
          <w:lang w:eastAsia="en-US"/>
        </w:rPr>
        <w:t>uy định phân định thẩm quyền của chính quyền địa phương 02 cấp, phân quyền, phân cấp trong lĩnh vực đất đai:</w:t>
      </w:r>
      <w:r>
        <w:rPr>
          <w:rFonts w:cs="Times New Roman" w:ascii="Times New Roman" w:hAnsi="Times New Roman"/>
          <w:bCs/>
          <w:i/>
          <w:iCs/>
          <w:color w:val="auto"/>
          <w:spacing w:val="-2"/>
          <w:sz w:val="28"/>
          <w:szCs w:val="28"/>
          <w:lang w:val="pl-PL" w:eastAsia="en-US"/>
        </w:rPr>
        <w:t xml:space="preserve"> </w:t>
      </w:r>
      <w:r>
        <w:rPr>
          <w:rFonts w:cs="Times New Roman" w:ascii="Times New Roman" w:hAnsi="Times New Roman"/>
          <w:color w:val="auto"/>
          <w:spacing w:val="-2"/>
          <w:sz w:val="28"/>
          <w:szCs w:val="28"/>
        </w:rPr>
        <w:t xml:space="preserve">Căn cứ quy định tại Nghị quyết số 190/2025/QH15 ngày 19/02/2025 của Quốc hội quy định về việc xử lý một số vấn đề liên quan đến sắp xếp tổ chức bộ máy nhà nước, </w:t>
      </w:r>
      <w:r>
        <w:rPr>
          <w:rFonts w:cs="Times New Roman" w:ascii="Times New Roman" w:hAnsi="Times New Roman"/>
          <w:bCs/>
          <w:color w:val="auto"/>
          <w:spacing w:val="-2"/>
          <w:sz w:val="28"/>
          <w:szCs w:val="28"/>
          <w:lang w:val="pl-PL" w:eastAsia="en-US"/>
        </w:rPr>
        <w:t>Chính phủ đã ban hành các nghị định</w:t>
      </w:r>
      <w:r>
        <w:rPr>
          <w:rFonts w:cs="Times New Roman" w:ascii="Times New Roman" w:hAnsi="Times New Roman"/>
          <w:b/>
          <w:bCs/>
          <w:color w:val="auto"/>
          <w:spacing w:val="-2"/>
          <w:sz w:val="28"/>
          <w:szCs w:val="28"/>
          <w:lang w:val="pl-PL" w:eastAsia="en-US"/>
        </w:rPr>
        <w:t xml:space="preserve"> </w:t>
      </w:r>
      <w:r>
        <w:rPr>
          <w:rFonts w:cs="Times New Roman" w:ascii="Times New Roman" w:hAnsi="Times New Roman"/>
          <w:bCs/>
          <w:color w:val="auto"/>
          <w:spacing w:val="-2"/>
          <w:sz w:val="28"/>
          <w:szCs w:val="28"/>
          <w:lang w:val="pl-PL" w:eastAsia="en-US"/>
        </w:rPr>
        <w:t>(</w:t>
      </w:r>
      <w:r>
        <w:rPr>
          <w:rFonts w:cs="Times New Roman" w:ascii="Times New Roman" w:hAnsi="Times New Roman"/>
          <w:bCs/>
          <w:iCs/>
          <w:color w:val="auto"/>
          <w:spacing w:val="-2"/>
          <w:sz w:val="28"/>
          <w:szCs w:val="28"/>
          <w:lang w:val="pl-PL" w:eastAsia="en-US"/>
        </w:rPr>
        <w:t>số 151/2025/NĐ-CP, số 226/2025/NĐ-CP, số 49/2026/NĐ-CP)</w:t>
      </w:r>
      <w:r>
        <w:rPr>
          <w:rFonts w:cs="Times New Roman" w:ascii="Times New Roman" w:hAnsi="Times New Roman"/>
          <w:bCs/>
          <w:color w:val="auto"/>
          <w:spacing w:val="-2"/>
          <w:sz w:val="28"/>
          <w:szCs w:val="28"/>
          <w:lang w:val="pl-PL" w:eastAsia="en-US"/>
        </w:rPr>
        <w:t xml:space="preserve">. So với các lĩnh vực khác thì mức độ </w:t>
      </w:r>
      <w:r>
        <w:rPr>
          <w:rFonts w:cs="Times New Roman" w:ascii="Times New Roman" w:hAnsi="Times New Roman"/>
          <w:bCs/>
          <w:color w:val="auto"/>
          <w:spacing w:val="-2"/>
          <w:sz w:val="28"/>
          <w:szCs w:val="28"/>
          <w:lang w:eastAsia="en-US"/>
        </w:rPr>
        <w:t xml:space="preserve">phân định thẩm quyền </w:t>
      </w:r>
      <w:r>
        <w:rPr>
          <w:rFonts w:cs="Times New Roman" w:ascii="Times New Roman" w:hAnsi="Times New Roman"/>
          <w:bCs/>
          <w:color w:val="auto"/>
          <w:spacing w:val="-2"/>
          <w:sz w:val="28"/>
          <w:szCs w:val="28"/>
          <w:lang w:val="pl-PL" w:eastAsia="en-US"/>
        </w:rPr>
        <w:t xml:space="preserve">cấp huyện theo mô hình </w:t>
      </w:r>
      <w:r>
        <w:rPr>
          <w:rFonts w:cs="Times New Roman" w:ascii="Times New Roman" w:hAnsi="Times New Roman"/>
          <w:bCs/>
          <w:color w:val="auto"/>
          <w:spacing w:val="-2"/>
          <w:sz w:val="28"/>
          <w:szCs w:val="28"/>
          <w:lang w:eastAsia="en-US"/>
        </w:rPr>
        <w:t xml:space="preserve">chính quyền địa phương 02 cấp, </w:t>
      </w:r>
      <w:r>
        <w:rPr>
          <w:rFonts w:cs="Times New Roman" w:ascii="Times New Roman" w:hAnsi="Times New Roman"/>
          <w:bCs/>
          <w:color w:val="auto"/>
          <w:spacing w:val="-2"/>
          <w:sz w:val="28"/>
          <w:szCs w:val="28"/>
          <w:lang w:val="pl-PL" w:eastAsia="en-US"/>
        </w:rPr>
        <w:t xml:space="preserve">mức độ </w:t>
      </w:r>
      <w:r>
        <w:rPr>
          <w:rFonts w:cs="Times New Roman" w:ascii="Times New Roman" w:hAnsi="Times New Roman"/>
          <w:bCs/>
          <w:color w:val="auto"/>
          <w:spacing w:val="-2"/>
          <w:sz w:val="28"/>
          <w:szCs w:val="28"/>
          <w:lang w:eastAsia="en-US"/>
        </w:rPr>
        <w:t>phân quyền, phân cấp trong lĩnh vực đất đai</w:t>
      </w:r>
      <w:r>
        <w:rPr>
          <w:rFonts w:cs="Times New Roman" w:ascii="Times New Roman" w:hAnsi="Times New Roman"/>
          <w:bCs/>
          <w:color w:val="auto"/>
          <w:spacing w:val="-2"/>
          <w:sz w:val="28"/>
          <w:szCs w:val="28"/>
          <w:lang w:val="pl-PL" w:eastAsia="en-US"/>
        </w:rPr>
        <w:t xml:space="preserve"> đang là “triệt để” nhất (cụ thể: Chính phủ đã giao UBND cấp tỉnh quyết định thẩm quyền, phân cấp, ủy quyền và quy định thủ tục hành chính, có một số thẩm quyền phân cấp “mạnh hơn” quy định của Luật Đất đai và Chính phủ đã báo cáo Ủy ban Thường vụ Quốc hội sau khi ban hành </w:t>
      </w:r>
      <w:r>
        <w:rPr>
          <w:rFonts w:cs="Times New Roman" w:ascii="Times New Roman" w:hAnsi="Times New Roman"/>
          <w:bCs/>
          <w:iCs/>
          <w:color w:val="auto"/>
          <w:spacing w:val="-2"/>
          <w:sz w:val="28"/>
          <w:szCs w:val="28"/>
          <w:lang w:val="pl-PL" w:eastAsia="en-US"/>
        </w:rPr>
        <w:t>Nghị định số 49/2026/NĐ-CP</w:t>
      </w:r>
      <w:r>
        <w:rPr>
          <w:rStyle w:val="FootnoteReference"/>
          <w:rFonts w:cs="Times New Roman" w:ascii="Times New Roman" w:hAnsi="Times New Roman"/>
          <w:bCs/>
          <w:color w:val="auto"/>
          <w:spacing w:val="-2"/>
          <w:sz w:val="28"/>
          <w:szCs w:val="28"/>
          <w:lang w:val="en-US" w:eastAsia="en-US"/>
        </w:rPr>
        <w:footnoteReference w:id="4"/>
      </w:r>
      <w:r>
        <w:rPr>
          <w:rFonts w:cs="Times New Roman" w:ascii="Times New Roman" w:hAnsi="Times New Roman"/>
          <w:bCs/>
          <w:color w:val="auto"/>
          <w:spacing w:val="-2"/>
          <w:sz w:val="28"/>
          <w:szCs w:val="28"/>
          <w:lang w:val="pl-PL" w:eastAsia="en-US"/>
        </w:rPr>
        <w:t xml:space="preserve">). </w:t>
      </w:r>
      <w:r>
        <w:rPr>
          <w:rFonts w:cs="Times New Roman" w:ascii="Times New Roman" w:hAnsi="Times New Roman"/>
          <w:color w:val="auto"/>
          <w:spacing w:val="-2"/>
          <w:sz w:val="28"/>
          <w:szCs w:val="28"/>
        </w:rPr>
        <w:t>Nghị quyết số 190/2025/QH15  được thực hiện đến hết ngày 28</w:t>
      </w:r>
      <w:r>
        <w:rPr>
          <w:rFonts w:cs="Times New Roman" w:ascii="Times New Roman" w:hAnsi="Times New Roman"/>
          <w:color w:val="auto"/>
          <w:spacing w:val="-2"/>
          <w:sz w:val="28"/>
          <w:szCs w:val="28"/>
          <w:lang w:val="pl-PL"/>
        </w:rPr>
        <w:t>/02/</w:t>
      </w:r>
      <w:r>
        <w:rPr>
          <w:rFonts w:cs="Times New Roman" w:ascii="Times New Roman" w:hAnsi="Times New Roman"/>
          <w:color w:val="auto"/>
          <w:spacing w:val="-2"/>
          <w:sz w:val="28"/>
          <w:szCs w:val="28"/>
        </w:rPr>
        <w:t>2027</w:t>
      </w:r>
      <w:r>
        <w:rPr>
          <w:rFonts w:cs="Times New Roman" w:ascii="Times New Roman" w:hAnsi="Times New Roman"/>
          <w:color w:val="auto"/>
          <w:spacing w:val="-2"/>
          <w:sz w:val="28"/>
          <w:szCs w:val="28"/>
          <w:lang w:val="pl-PL"/>
        </w:rPr>
        <w:t>. Chính vì vậy, t</w:t>
      </w:r>
      <w:r>
        <w:rPr>
          <w:rFonts w:cs="Times New Roman" w:ascii="Times New Roman" w:hAnsi="Times New Roman"/>
          <w:color w:val="auto"/>
          <w:spacing w:val="-2"/>
          <w:sz w:val="28"/>
          <w:szCs w:val="28"/>
        </w:rPr>
        <w:t xml:space="preserve">ại khoản 2 Điều 11 </w:t>
      </w:r>
      <w:r>
        <w:rPr>
          <w:rFonts w:cs="Times New Roman" w:ascii="Times New Roman" w:hAnsi="Times New Roman"/>
          <w:color w:val="auto"/>
          <w:spacing w:val="-2"/>
          <w:sz w:val="28"/>
          <w:szCs w:val="28"/>
          <w:lang w:val="pl-PL"/>
        </w:rPr>
        <w:t xml:space="preserve">của </w:t>
      </w:r>
      <w:r>
        <w:rPr>
          <w:rFonts w:cs="Times New Roman" w:ascii="Times New Roman" w:hAnsi="Times New Roman"/>
          <w:color w:val="auto"/>
          <w:spacing w:val="-2"/>
          <w:sz w:val="28"/>
          <w:szCs w:val="28"/>
        </w:rPr>
        <w:t>Nghị quyết đ</w:t>
      </w:r>
      <w:r>
        <w:rPr>
          <w:rFonts w:cs="Times New Roman" w:ascii="Times New Roman" w:hAnsi="Times New Roman"/>
          <w:color w:val="auto"/>
          <w:spacing w:val="-2"/>
          <w:sz w:val="28"/>
          <w:szCs w:val="28"/>
          <w:lang w:val="pl-PL"/>
        </w:rPr>
        <w:t xml:space="preserve">ã </w:t>
      </w:r>
      <w:r>
        <w:rPr>
          <w:rFonts w:cs="Times New Roman" w:ascii="Times New Roman" w:hAnsi="Times New Roman"/>
          <w:color w:val="auto"/>
          <w:spacing w:val="-2"/>
          <w:sz w:val="28"/>
          <w:szCs w:val="28"/>
        </w:rPr>
        <w:t>giao “</w:t>
      </w:r>
      <w:r>
        <w:rPr>
          <w:rFonts w:cs="Times New Roman" w:ascii="Times New Roman" w:hAnsi="Times New Roman"/>
          <w:i/>
          <w:color w:val="auto"/>
          <w:spacing w:val="-2"/>
          <w:sz w:val="28"/>
          <w:szCs w:val="28"/>
        </w:rPr>
        <w:t xml:space="preserve">Cơ quan, người có thẩm quyền phải ban hành văn bản quy phạm pháp luật theo thẩm quyền hoặc trình cấp có thẩm quyền ban hành văn bản quy phạm pháp luật theo trình tự, thủ tục rút gọn để xử lý các văn bản chịu sự tác động do sắp xếp tổ chức bộ máy nhà nước, </w:t>
      </w:r>
      <w:r>
        <w:rPr>
          <w:rFonts w:cs="Times New Roman" w:ascii="Times New Roman" w:hAnsi="Times New Roman"/>
          <w:i/>
          <w:color w:val="auto"/>
          <w:spacing w:val="-2"/>
          <w:sz w:val="28"/>
          <w:szCs w:val="28"/>
          <w:u w:val="single"/>
        </w:rPr>
        <w:t>bảo đảm hoàn thành trước ngày 01 tháng 3 năm 2027</w:t>
      </w:r>
      <w:r>
        <w:rPr>
          <w:rFonts w:cs="Times New Roman" w:ascii="Times New Roman" w:hAnsi="Times New Roman"/>
          <w:color w:val="auto"/>
          <w:spacing w:val="-2"/>
          <w:sz w:val="28"/>
          <w:szCs w:val="28"/>
          <w:lang w:val="pl-PL"/>
        </w:rPr>
        <w:t>”</w:t>
      </w:r>
      <w:r>
        <w:rPr>
          <w:rFonts w:cs="Times New Roman" w:ascii="Times New Roman" w:hAnsi="Times New Roman"/>
          <w:color w:val="auto"/>
          <w:spacing w:val="-2"/>
          <w:sz w:val="28"/>
          <w:szCs w:val="28"/>
        </w:rPr>
        <w:t>.</w:t>
      </w:r>
      <w:r>
        <w:rPr>
          <w:rFonts w:cs="Times New Roman" w:ascii="Times New Roman" w:hAnsi="Times New Roman"/>
          <w:color w:val="auto"/>
          <w:spacing w:val="-2"/>
          <w:sz w:val="28"/>
          <w:szCs w:val="28"/>
          <w:lang w:val="pl-PL"/>
        </w:rPr>
        <w:t xml:space="preserve"> </w:t>
      </w:r>
    </w:p>
    <w:p>
      <w:pPr>
        <w:pStyle w:val="Normal"/>
        <w:spacing w:lineRule="exact" w:line="340" w:before="120" w:after="120"/>
        <w:ind w:firstLine="709"/>
        <w:jc w:val="both"/>
        <w:rPr>
          <w:rFonts w:ascii="Times New Roman" w:hAnsi="Times New Roman" w:cs="Times New Roman"/>
          <w:bCs/>
          <w:color w:val="auto"/>
          <w:sz w:val="28"/>
          <w:szCs w:val="28"/>
          <w:lang w:val="pl-PL" w:eastAsia="en-US"/>
        </w:rPr>
      </w:pPr>
      <w:r>
        <w:rPr>
          <w:rFonts w:cs="Times New Roman" w:ascii="Times New Roman" w:hAnsi="Times New Roman"/>
          <w:bCs/>
          <w:i/>
          <w:iCs/>
          <w:color w:val="auto"/>
          <w:sz w:val="28"/>
          <w:szCs w:val="28"/>
          <w:lang w:val="pl-PL" w:eastAsia="en-US"/>
        </w:rPr>
        <w:t xml:space="preserve">(3) Các quy định về một số cơ chế, chính sách tháo gỡ khó khăn, vướng mắc trong các lĩnh vực khác có liên quan đến lĩnh vực đất đai: </w:t>
      </w:r>
      <w:r>
        <w:rPr>
          <w:rFonts w:cs="Times New Roman" w:ascii="Times New Roman" w:hAnsi="Times New Roman"/>
          <w:bCs/>
          <w:color w:val="auto"/>
          <w:sz w:val="28"/>
          <w:szCs w:val="28"/>
          <w:lang w:val="pl-PL" w:eastAsia="en-US"/>
        </w:rPr>
        <w:t xml:space="preserve">Quốc hội đã ban hành </w:t>
      </w:r>
      <w:r>
        <w:rPr>
          <w:rFonts w:cs="Times New Roman" w:ascii="Times New Roman" w:hAnsi="Times New Roman"/>
          <w:b/>
          <w:bCs/>
          <w:color w:val="auto"/>
          <w:sz w:val="28"/>
          <w:szCs w:val="28"/>
          <w:lang w:val="pl-PL" w:eastAsia="en-US"/>
        </w:rPr>
        <w:t>12</w:t>
      </w:r>
      <w:r>
        <w:rPr>
          <w:rFonts w:cs="Times New Roman" w:ascii="Times New Roman" w:hAnsi="Times New Roman"/>
          <w:bCs/>
          <w:color w:val="auto"/>
          <w:sz w:val="28"/>
          <w:szCs w:val="28"/>
          <w:lang w:val="pl-PL" w:eastAsia="en-US"/>
        </w:rPr>
        <w:t xml:space="preserve"> luật khác</w:t>
      </w:r>
      <w:r>
        <w:rPr>
          <w:rStyle w:val="FootnoteReference"/>
          <w:rFonts w:cs="Times New Roman" w:ascii="Times New Roman" w:hAnsi="Times New Roman"/>
          <w:bCs/>
          <w:color w:val="auto"/>
          <w:sz w:val="28"/>
          <w:szCs w:val="28"/>
          <w:vertAlign w:val="superscript"/>
          <w:lang w:val="pl-PL" w:eastAsia="en-US"/>
        </w:rPr>
        <w:footnoteReference w:id="5"/>
      </w:r>
      <w:r>
        <w:rPr>
          <w:rFonts w:cs="Times New Roman" w:ascii="Times New Roman" w:hAnsi="Times New Roman"/>
          <w:bCs/>
          <w:color w:val="auto"/>
          <w:sz w:val="28"/>
          <w:szCs w:val="28"/>
          <w:lang w:val="pl-PL" w:eastAsia="en-US"/>
        </w:rPr>
        <w:t xml:space="preserve"> có nội dung sửa đổi, bổ sung một số quy định của Luật Đất đai (như đất trồng lúa, đất cảng hàng không, đất đường sắt, đất khai thác khoáng sản, an ninh mạng, về miễn giảm tiền sử dụng đất cho doanh nghiệp khoa học công nghệ đổi mới sáng tạo, về khu công nghệ số tập trung, về quy hoạch đô thị và nông thôn), </w:t>
      </w:r>
      <w:r>
        <w:rPr>
          <w:rFonts w:cs="Times New Roman" w:ascii="Times New Roman" w:hAnsi="Times New Roman"/>
          <w:b/>
          <w:bCs/>
          <w:color w:val="auto"/>
          <w:sz w:val="28"/>
          <w:szCs w:val="28"/>
          <w:lang w:val="pl-PL" w:eastAsia="en-US"/>
        </w:rPr>
        <w:t xml:space="preserve">02 </w:t>
      </w:r>
      <w:r>
        <w:rPr>
          <w:rFonts w:cs="Times New Roman" w:ascii="Times New Roman" w:hAnsi="Times New Roman"/>
          <w:bCs/>
          <w:color w:val="auto"/>
          <w:sz w:val="28"/>
          <w:szCs w:val="28"/>
          <w:lang w:val="pl-PL" w:eastAsia="en-US"/>
        </w:rPr>
        <w:t>Nghị quyết của Quốc hội</w:t>
      </w:r>
      <w:r>
        <w:rPr>
          <w:rStyle w:val="FootnoteReference"/>
          <w:rFonts w:cs="Times New Roman" w:ascii="Times New Roman" w:hAnsi="Times New Roman"/>
          <w:bCs/>
          <w:color w:val="auto"/>
          <w:sz w:val="28"/>
          <w:szCs w:val="28"/>
          <w:vertAlign w:val="superscript"/>
          <w:lang w:val="pl-PL" w:eastAsia="en-US"/>
        </w:rPr>
        <w:footnoteReference w:id="6"/>
      </w:r>
      <w:r>
        <w:rPr>
          <w:rFonts w:cs="Times New Roman" w:ascii="Times New Roman" w:hAnsi="Times New Roman"/>
          <w:bCs/>
          <w:color w:val="auto"/>
          <w:sz w:val="28"/>
          <w:szCs w:val="28"/>
          <w:lang w:val="pl-PL" w:eastAsia="en-US"/>
        </w:rPr>
        <w:t xml:space="preserve"> </w:t>
      </w:r>
      <w:r>
        <w:rPr>
          <w:rFonts w:cs="Times New Roman" w:ascii="Times New Roman" w:hAnsi="Times New Roman"/>
          <w:bCs/>
          <w:i/>
          <w:color w:val="auto"/>
          <w:sz w:val="28"/>
          <w:szCs w:val="28"/>
          <w:lang w:val="pl-PL" w:eastAsia="en-US"/>
        </w:rPr>
        <w:t>(về văn hóa, y tế)</w:t>
      </w:r>
      <w:r>
        <w:rPr>
          <w:rFonts w:cs="Times New Roman" w:ascii="Times New Roman" w:hAnsi="Times New Roman"/>
          <w:bCs/>
          <w:color w:val="auto"/>
          <w:sz w:val="28"/>
          <w:szCs w:val="28"/>
          <w:lang w:val="pl-PL" w:eastAsia="en-US"/>
        </w:rPr>
        <w:t xml:space="preserve">, các Nghị quyết của Quốc hội về cơ chế, chính sách thí điểm áp dụng tại một số địa phương </w:t>
      </w:r>
      <w:r>
        <w:rPr>
          <w:rFonts w:cs="Times New Roman" w:ascii="Times New Roman" w:hAnsi="Times New Roman"/>
          <w:bCs/>
          <w:i/>
          <w:iCs/>
          <w:color w:val="auto"/>
          <w:sz w:val="28"/>
          <w:szCs w:val="28"/>
          <w:lang w:val="pl-PL" w:eastAsia="en-US"/>
        </w:rPr>
        <w:t>(Hải Phòng, Hà Nội, Đà Nẵng, Thành phố Hồ Chí Minh)</w:t>
      </w:r>
      <w:r>
        <w:rPr>
          <w:rStyle w:val="FootnoteReference"/>
          <w:vertAlign w:val="superscript"/>
        </w:rPr>
        <w:footnoteReference w:id="7"/>
      </w:r>
      <w:r>
        <w:rPr>
          <w:rFonts w:cs="Times New Roman" w:ascii="Times New Roman" w:hAnsi="Times New Roman"/>
          <w:bCs/>
          <w:color w:val="auto"/>
          <w:sz w:val="28"/>
          <w:szCs w:val="28"/>
          <w:lang w:val="pl-PL" w:eastAsia="en-US"/>
        </w:rPr>
        <w:t xml:space="preserve"> và Nghị quyết số 66.11/2025/NQ-CP của Chính phủ (về đấu giá quyền sử dụng đất trong trường hợp giao đất ở).</w:t>
      </w:r>
    </w:p>
    <w:p>
      <w:pPr>
        <w:pStyle w:val="Normal"/>
        <w:spacing w:lineRule="exact" w:line="340" w:before="120" w:after="120"/>
        <w:ind w:firstLine="709"/>
        <w:jc w:val="both"/>
        <w:rPr>
          <w:rFonts w:ascii="Times New Roman" w:hAnsi="Times New Roman" w:cs="Times New Roman"/>
          <w:color w:val="auto"/>
          <w:sz w:val="28"/>
          <w:szCs w:val="28"/>
          <w:lang w:val="pl-PL"/>
        </w:rPr>
      </w:pPr>
      <w:r>
        <w:rPr>
          <w:rFonts w:cs="Times New Roman" w:ascii="Times New Roman" w:hAnsi="Times New Roman"/>
          <w:color w:val="auto"/>
          <w:sz w:val="28"/>
          <w:szCs w:val="28"/>
          <w:lang w:val="pl-PL"/>
        </w:rPr>
        <w:t xml:space="preserve">Các nghị quyết của Quốc hội, Chính phủ nêu trên chủ yếu giải quyết những vấn đề phát sinh trong thực tiễn đối với một số dự án, địa phương hoặc nhóm vụ việc cụ thể, mang tính chuyển tiếp và đặc thù, nhằm khơi thông nguồn lực đất đai và đẩy nhanh tiến độ đầu tư. Tuy nhiên, đây chỉ là giải pháp tình thế, chưa thể khắc phục triệt để những bất cập trong tổ chức thi hành Luật do các nghị quyết không sửa đổi nội dung của Luật Đất đai, không tạo ra khuôn khổ pháp lý ổn định, thống nhất và áp dụng chung trên phạm vi cả nước. </w:t>
      </w:r>
    </w:p>
    <w:p>
      <w:pPr>
        <w:pStyle w:val="Normal"/>
        <w:spacing w:lineRule="exact" w:line="340" w:before="120" w:after="120"/>
        <w:ind w:firstLine="709"/>
        <w:jc w:val="both"/>
        <w:rPr>
          <w:rFonts w:ascii="Times New Roman" w:hAnsi="Times New Roman" w:cs="Times New Roman"/>
          <w:color w:val="auto"/>
          <w:sz w:val="28"/>
          <w:szCs w:val="28"/>
          <w:lang w:val="pl-PL"/>
        </w:rPr>
      </w:pPr>
      <w:r>
        <w:rPr>
          <w:rFonts w:cs="Times New Roman" w:ascii="Times New Roman" w:hAnsi="Times New Roman"/>
          <w:color w:val="auto"/>
          <w:spacing w:val="-2"/>
          <w:sz w:val="28"/>
          <w:szCs w:val="28"/>
          <w:lang w:val="pl-PL"/>
        </w:rPr>
        <w:t xml:space="preserve">Kể từ khi Luật Đất đai năm 2024 được ban hành, Trung ương và Bộ Chính trị đã ban hành nhiều nghị quyết, kết luận quan trọng về đổi mới thể chế, tổ chức bộ máy và phát triển đất nước trong kỷ nguyên mới. Bên cạnh đó, nước ta đang bước vào giai đoạn phát triển với yêu cầu huy động nguồn lực đất đai để phát triển kết cấu hạ tầng, đô thị, công nghiệp, chuyển đổi số, phát triển kinh tế nhà nước, kinh tế tư nhân,hội nhập quốc tế... </w:t>
      </w:r>
      <w:r>
        <w:rPr>
          <w:rFonts w:cs="Times New Roman" w:ascii="Times New Roman" w:hAnsi="Times New Roman"/>
          <w:color w:val="auto"/>
          <w:sz w:val="28"/>
          <w:szCs w:val="28"/>
          <w:lang w:val="pl-PL"/>
        </w:rPr>
        <w:t>Những chủ trương, chính sách này này đặt ra nhiều yêu cầu mới cần phải hoàn thiện chính sách, pháp luật đất đai để nâng cao hiệu lực, hiệu quả quản lý nhà nước về đất đai. Bên cạnh đó, v</w:t>
      </w:r>
      <w:r>
        <w:rPr>
          <w:rFonts w:cs="Times New Roman" w:ascii="Times New Roman" w:hAnsi="Times New Roman"/>
          <w:color w:val="auto"/>
          <w:spacing w:val="-2"/>
          <w:sz w:val="28"/>
          <w:szCs w:val="28"/>
          <w:lang w:val="pl-PL"/>
        </w:rPr>
        <w:t>iệc sắp xếp đơn vị hành chính và tổ chức chính quyền địa phương hai cấp cũng đặt ra yêu cầu điều chỉnh nhiều quy định về thẩm quyền, trách nhiệm quản lý đất đai ngay trong Luật Đất đai</w:t>
      </w:r>
      <w:r>
        <w:rPr>
          <w:rFonts w:cs="Times New Roman" w:ascii="Times New Roman" w:hAnsi="Times New Roman"/>
          <w:color w:val="auto"/>
          <w:sz w:val="28"/>
          <w:szCs w:val="28"/>
          <w:lang w:val="pl-PL"/>
        </w:rPr>
        <w:t xml:space="preserve">. </w:t>
      </w:r>
    </w:p>
    <w:p>
      <w:pPr>
        <w:pStyle w:val="Normal"/>
        <w:spacing w:lineRule="exact" w:line="340" w:before="120" w:after="120"/>
        <w:ind w:firstLine="709"/>
        <w:jc w:val="both"/>
        <w:rPr>
          <w:rFonts w:ascii="Times New Roman" w:hAnsi="Times New Roman" w:cs="Times New Roman"/>
          <w:color w:val="auto"/>
          <w:sz w:val="28"/>
          <w:szCs w:val="28"/>
          <w:lang w:val="pl-PL"/>
        </w:rPr>
      </w:pPr>
      <w:r>
        <w:rPr>
          <w:rFonts w:cs="Times New Roman" w:ascii="Times New Roman" w:hAnsi="Times New Roman"/>
          <w:color w:val="auto"/>
          <w:sz w:val="28"/>
          <w:szCs w:val="28"/>
          <w:lang w:val="pl-PL"/>
        </w:rPr>
        <w:t>Trong giai đoạn 2024 - 2026, nhiều luật quan trọng đã được sửa đổi hoặc đang được sửa đổi như Luật Đầu tư, Luật Đấu thầu, Luật Quy hoạch, Luật Xây dựng, Luật Tổ chức chính quyền địa phương, Luật Ban hành văn bản quy phạm pháp luật... Nếu Luật Đất đai không được sửa đổi đồng bộ sẽ tiếp tục phát sinh chồng chéo, mâu thuẫn trong quá trình áp dụng, ảnh hưởng đến môi trường đầu tư và hiệu quả quản lý nhà nước.</w:t>
      </w:r>
    </w:p>
    <w:p>
      <w:pPr>
        <w:pStyle w:val="Normal"/>
        <w:spacing w:lineRule="exact" w:line="340" w:before="120" w:after="120"/>
        <w:ind w:firstLine="709"/>
        <w:jc w:val="both"/>
        <w:rPr>
          <w:rFonts w:ascii="Times New Roman" w:hAnsi="Times New Roman" w:cs="Times New Roman"/>
          <w:color w:val="auto"/>
          <w:sz w:val="28"/>
          <w:szCs w:val="28"/>
          <w:lang w:val="pl-PL"/>
        </w:rPr>
      </w:pPr>
      <w:r>
        <w:rPr>
          <w:rFonts w:cs="Times New Roman" w:ascii="Times New Roman" w:hAnsi="Times New Roman"/>
          <w:color w:val="auto"/>
          <w:sz w:val="28"/>
          <w:szCs w:val="28"/>
          <w:lang w:val="pl-PL"/>
        </w:rPr>
        <w:t>Vì vậy, việc sửa đổi Luật Đất đai là cần thiết và cấp bách nhằm tạo lập khuôn khổ pháp lý thống nhất, ổn định, đồng bộ với hệ thống pháp luật, đáp ứng yêu cầu phát triển đất nước trong giai đoạn mới, thay vì tiếp tục phụ thuộc vào các cơ chế đặc thù mang tính ngắn hạn.</w:t>
      </w:r>
    </w:p>
    <w:p>
      <w:pPr>
        <w:pStyle w:val="Normal"/>
        <w:spacing w:lineRule="exact" w:line="340" w:before="120" w:after="120"/>
        <w:ind w:firstLine="709"/>
        <w:jc w:val="both"/>
        <w:rPr>
          <w:rFonts w:ascii="Times New Roman" w:hAnsi="Times New Roman" w:cs="Times New Roman"/>
          <w:color w:val="auto"/>
          <w:sz w:val="28"/>
          <w:szCs w:val="28"/>
          <w:lang w:val="pl-PL"/>
        </w:rPr>
      </w:pPr>
      <w:r>
        <w:rPr>
          <w:rFonts w:cs="Times New Roman" w:ascii="Times New Roman" w:hAnsi="Times New Roman"/>
          <w:color w:val="auto"/>
          <w:sz w:val="28"/>
          <w:szCs w:val="28"/>
          <w:lang w:val="pl-PL"/>
        </w:rPr>
        <w:t>Việc giải quyết mối quan hệ giữa Luật Đất đai (sửa đổi) với các Nghị quyết đặc thù của Quốc hội cần được sửa đổi theo hướng: (1) đối với những cơ chế, chính sách tháo gỡ khó khăn, vướng mắc đã được chỉ ra tại Thông báo số 08-TB/BCĐTW ngày 08/8/2025 của Ban Chỉ đạo Trung ương và đã được quy định tại Nghị quyết số 254/2025/Qh15 mà thực tiễn chứng minh là phù hợp, hiệu quả và có thể áp dụng chung trên phạm vi cả nước thì nghiên cứu luật hóa trong Luật Đất đai (sửa đổi), bảo đảm tính ổn định, minh bạch và thống nhất; (2) đối với những cơ chế chỉ phù hợp với điều kiện đặc biệt của từng địa phương, từng dự án hoặc từng giai đoạn thì không luật hóa mà tiếp tục thực hiện theo các nghị quyết riêng hoặc quy định chuyển tiếp khi thật sự cần thiết; (3) rà soát toàn bộ các quy định của Luật Đất đai (sửa đổi) để hạn chế tối đa việc phải tiếp tục ban hành các cơ chế đặc thù trong tương lai; xây dựng các quy định mang tính nguyên tắc, có tính linh hoạt, đồng thời đẩy mạnh phân cấp, phân quyền để giải quyết các vấn đề phát sinh ngay trong khuôn khổ của Luật; (4) bổ sung quy định chuyển tiếp đối với những dự án, vụ việc đang thực hiện theo các nghị quyết đặc thù mà phù hợp, hiệu quả và có thể áp dụng chung trên phạm vi cả nước nhằm bảo đảm tính liên tục của chính sách, tránh phát sinh khoảng trống pháp lý hoặc ảnh hưởng đến quyền, lợi ích hợp pháp của Nhà nước, người dân và doanh nghiệp.</w:t>
      </w:r>
    </w:p>
    <w:p>
      <w:pPr>
        <w:pStyle w:val="Normal"/>
        <w:spacing w:lineRule="exact" w:line="340" w:before="120" w:after="120"/>
        <w:ind w:firstLine="709"/>
        <w:jc w:val="both"/>
        <w:rPr>
          <w:rFonts w:ascii="Times New Roman" w:hAnsi="Times New Roman" w:cs="Times New Roman"/>
          <w:color w:val="auto"/>
          <w:sz w:val="28"/>
          <w:szCs w:val="28"/>
          <w:lang w:val="pl-PL" w:eastAsia="en-US"/>
        </w:rPr>
      </w:pPr>
      <w:r>
        <w:rPr>
          <w:rFonts w:cs="Times New Roman" w:ascii="Times New Roman" w:hAnsi="Times New Roman"/>
          <w:color w:val="auto"/>
          <w:spacing w:val="-2"/>
          <w:sz w:val="28"/>
          <w:szCs w:val="28"/>
          <w:lang w:val="pl-PL"/>
        </w:rPr>
        <w:t>c) Quá trình đánh giá g</w:t>
      </w:r>
      <w:r>
        <w:rPr>
          <w:rFonts w:cs="Times New Roman" w:ascii="Times New Roman" w:hAnsi="Times New Roman"/>
          <w:color w:val="auto"/>
          <w:spacing w:val="-2"/>
          <w:sz w:val="28"/>
          <w:szCs w:val="28"/>
          <w:lang w:val="pl-PL" w:eastAsia="en-US"/>
        </w:rPr>
        <w:t>ần 02 năm tổ chức thi hành Luật Đất đai năm 2024</w:t>
      </w:r>
      <w:r>
        <w:rPr>
          <w:rStyle w:val="FootnoteReference"/>
          <w:rFonts w:cs="Times New Roman" w:ascii="Times New Roman" w:hAnsi="Times New Roman"/>
          <w:color w:val="auto"/>
          <w:spacing w:val="-2"/>
          <w:sz w:val="28"/>
          <w:szCs w:val="28"/>
          <w:lang w:val="pl-PL" w:eastAsia="en-US"/>
        </w:rPr>
        <w:footnoteReference w:id="8"/>
      </w:r>
      <w:r>
        <w:rPr>
          <w:rFonts w:cs="Times New Roman" w:ascii="Times New Roman" w:hAnsi="Times New Roman"/>
          <w:color w:val="auto"/>
          <w:spacing w:val="-2"/>
          <w:sz w:val="28"/>
          <w:szCs w:val="28"/>
          <w:lang w:val="pl-PL" w:eastAsia="en-US"/>
        </w:rPr>
        <w:t xml:space="preserve"> cho thấy còn một số tồn tại, hạn chế cần phải tiếp tục </w:t>
      </w:r>
      <w:r>
        <w:rPr>
          <w:rFonts w:cs="Times New Roman" w:ascii="Times New Roman" w:hAnsi="Times New Roman"/>
          <w:color w:val="auto"/>
          <w:sz w:val="28"/>
          <w:szCs w:val="28"/>
          <w:lang w:val="pl-PL" w:eastAsia="en-US"/>
        </w:rPr>
        <w:t xml:space="preserve">nghiên cứu, hoàn thiện chính sách, pháp luật về đất đai để khơi thông nguồn lực đất đai cho phát triển kinh tế - xã hội của đất nước, thực hiện có hiệu quả chính quyền địa phương 02 cấp và </w:t>
      </w:r>
      <w:r>
        <w:rPr>
          <w:rStyle w:val="fontstyle01"/>
          <w:color w:val="auto"/>
        </w:rPr>
        <w:t>để thực hiện mục tiêu tăng trưởng “2 con số”</w:t>
      </w:r>
      <w:r>
        <w:rPr>
          <w:rFonts w:cs="Times New Roman" w:ascii="Times New Roman" w:hAnsi="Times New Roman"/>
          <w:color w:val="auto"/>
          <w:sz w:val="28"/>
          <w:szCs w:val="28"/>
          <w:lang w:val="pl-PL" w:eastAsia="en-US"/>
        </w:rPr>
        <w:t>, cụ thể như sau:</w:t>
      </w:r>
    </w:p>
    <w:p>
      <w:pPr>
        <w:pStyle w:val="Normal"/>
        <w:spacing w:lineRule="exact" w:line="340" w:before="120" w:after="120"/>
        <w:ind w:firstLine="709"/>
        <w:jc w:val="both"/>
        <w:rPr>
          <w:rFonts w:ascii="Times New Roman" w:hAnsi="Times New Roman" w:cs="Times New Roman"/>
          <w:bCs/>
          <w:color w:val="auto"/>
          <w:sz w:val="28"/>
          <w:szCs w:val="28"/>
          <w:lang w:val="zu-ZA" w:eastAsia="en-US"/>
        </w:rPr>
      </w:pPr>
      <w:r>
        <w:rPr>
          <w:rFonts w:cs="Times New Roman" w:ascii="Times New Roman" w:hAnsi="Times New Roman"/>
          <w:bCs/>
          <w:color w:val="auto"/>
          <w:sz w:val="28"/>
          <w:szCs w:val="28"/>
          <w:lang w:val="zu-ZA" w:eastAsia="en-US"/>
        </w:rPr>
        <w:t>Chất lượng quy hoạch, kế hoạch sử dụng đất chưa cao; dự báo về nhu cầu sử dụng đất của một số ngành, lĩnh vực, địa phương chưa theo kịp sự phát triển của kinh tế - xã hội và nhu cầu thị trường; kết quả thực hiện các chỉ tiêu quy hoạch, kế hoạch sử dụng đất đạt tỷ lệ chưa cao và không đồng đều giữa các vùng; việc chấp hành quy hoạch, kế hoạch sử dụng đất chưa nghiêm.</w:t>
      </w:r>
    </w:p>
    <w:p>
      <w:pPr>
        <w:pStyle w:val="Normal"/>
        <w:spacing w:lineRule="exact" w:line="340" w:before="120" w:after="120"/>
        <w:ind w:firstLine="709"/>
        <w:jc w:val="both"/>
        <w:rPr>
          <w:rFonts w:ascii="Times New Roman" w:hAnsi="Times New Roman" w:cs="Times New Roman"/>
          <w:bCs/>
          <w:color w:val="auto"/>
          <w:sz w:val="28"/>
          <w:szCs w:val="28"/>
          <w:lang w:val="zu-ZA" w:eastAsia="en-US"/>
        </w:rPr>
      </w:pPr>
      <w:r>
        <w:rPr>
          <w:rFonts w:cs="Times New Roman" w:ascii="Times New Roman" w:hAnsi="Times New Roman"/>
          <w:bCs/>
          <w:color w:val="auto"/>
          <w:sz w:val="28"/>
          <w:szCs w:val="28"/>
          <w:lang w:val="zu-ZA" w:eastAsia="en-US"/>
        </w:rPr>
        <w:t>Phương pháp xác định giá đất theo nguyên tắc thị trường nhưng chưa có thị trường đất đai minh bạch, hoàn chỉnh; thị trường quyền sử dụng đất chưa minh bạch và chưa phản ánh đúng giá trị thực; cơ chế đồng thời tồn tại bảng giá đất và giá đất cụ thể tạo ra "hai giá đất"; cơ sở dữ liệu phục vụ định giá còn thiếu; phương pháp định giá phụ thuộc nhiều vào dữ liệu thị trường; đồng thời giá thị trường chịu tác động của đầu cơ, thổi giá. Những yếu tố này làm cho việc xác định giá đất theo nguyên tắc thị trường gặp nhiều khó khăn, ảnh hưởng đến quản lý nhà nước, việc thực hiện nghĩa vụ tài chính, bồi thường, hỗ trợ, tái định cư và môi trường đầu tư.</w:t>
      </w:r>
    </w:p>
    <w:p>
      <w:pPr>
        <w:pStyle w:val="Normal"/>
        <w:spacing w:lineRule="exact" w:line="340" w:before="120" w:after="120"/>
        <w:ind w:firstLine="709"/>
        <w:jc w:val="both"/>
        <w:rPr>
          <w:rFonts w:ascii="Times New Roman" w:hAnsi="Times New Roman" w:cs="Times New Roman"/>
          <w:bCs/>
          <w:color w:val="auto"/>
          <w:sz w:val="28"/>
          <w:szCs w:val="28"/>
          <w:lang w:val="zu-ZA" w:eastAsia="en-US"/>
        </w:rPr>
      </w:pPr>
      <w:r>
        <w:rPr>
          <w:rFonts w:cs="Times New Roman" w:ascii="Times New Roman" w:hAnsi="Times New Roman"/>
          <w:bCs/>
          <w:color w:val="auto"/>
          <w:sz w:val="28"/>
          <w:szCs w:val="28"/>
          <w:lang w:val="zu-ZA" w:eastAsia="en-US"/>
        </w:rPr>
        <w:t xml:space="preserve">Pháp luật hiện hành định hướng việc giao đất, cho thuê đất chủ yếu thông qua đấu giá quyền sử dụng đất hoặc đấu thầu lựa chọn nhà đầu tư nhưng chưa phân định rõ trường hợp áp dụng đối với từng loại quỹ đất (quỹ đất sạch do Nhà nước quản lý, quỹ đất phải thu hồi, quỹ đất nhà đầu tư đã thỏa thuận nhận quyền sử dụng đất, đất xen kẹt, đất do tổ chức đang quản lý...),gây lúng túng trong quá trình thực hiện; Việc giao đất, cho thuê đất phải thực hiện đồng thời các quy định của Luật Đất đai, Luật Đấu thầu, Luật Đầu tư và các pháp luật có liên quan; một dự án phải qua nhiều cơ quan thẩm định, xin ý kiến và phê duyệt ở nhiều cấp. Trình tự giữa các thủ tục chưa được thiết kế thống nhất, còn nhiều bước lặp lại (lập quy hoạch, chấp thuận chủ trương đầu tư, thu hồi đất, giải phóng mặt bằng, đấu giá hoặc đấu thầu, giao đất...), làm kéo dài thời gian </w:t>
      </w:r>
      <w:r>
        <w:rPr>
          <w:rFonts w:cs="Times New Roman" w:ascii="Times New Roman" w:hAnsi="Times New Roman"/>
          <w:bCs/>
          <w:color w:val="auto"/>
          <w:sz w:val="28"/>
          <w:szCs w:val="28"/>
          <w:lang w:eastAsia="en-US"/>
        </w:rPr>
        <w:t>và chi phí tuân thủ cho Nhà nước và nhà đầu tư</w:t>
      </w:r>
      <w:r>
        <w:rPr>
          <w:rFonts w:cs="Times New Roman" w:ascii="Times New Roman" w:hAnsi="Times New Roman"/>
          <w:bCs/>
          <w:color w:val="auto"/>
          <w:sz w:val="28"/>
          <w:szCs w:val="28"/>
          <w:lang w:val="zu-ZA" w:eastAsia="en-US"/>
        </w:rPr>
        <w:t>. Đấu giá quyền sử dụng đất chủ yếu dựa trên tiêu chí trả giá cao, đối với nhiều dự án cần công nghệ cao hoặc có yêu cầu kỹ thuật đặc thù, cơ chế hiện hành chưa tạo điều kiện lựa chọn được nhà đầu tư có năng lực vượt trội, dẫn đến nguy cơ chậm triển khai hoặc hiệu quả đầu tư thấp.</w:t>
      </w:r>
    </w:p>
    <w:p>
      <w:pPr>
        <w:pStyle w:val="Normal"/>
        <w:spacing w:lineRule="exact" w:line="340" w:before="120" w:after="120"/>
        <w:ind w:firstLine="709"/>
        <w:jc w:val="both"/>
        <w:rPr>
          <w:rFonts w:ascii="Times New Roman" w:hAnsi="Times New Roman" w:cs="Times New Roman"/>
          <w:bCs/>
          <w:color w:val="auto"/>
          <w:sz w:val="28"/>
          <w:szCs w:val="28"/>
          <w:lang w:val="zu-ZA" w:eastAsia="en-US"/>
        </w:rPr>
      </w:pPr>
      <w:r>
        <w:rPr>
          <w:rFonts w:cs="Times New Roman" w:ascii="Times New Roman" w:hAnsi="Times New Roman"/>
          <w:bCs/>
          <w:color w:val="auto"/>
          <w:sz w:val="28"/>
          <w:szCs w:val="28"/>
          <w:lang w:val="zu-ZA" w:eastAsia="en-US"/>
        </w:rPr>
        <w:t>Về bồi thường, hỗ trợ, tái định cư thực hiện nguyên tắc chỉ được thực hiện thu hồi đất sau khi phương án bồi thường, hỗ trợ, tái định cư được phê duyệt, đối với trường hợp phải bố trí tái định cư thì phải hoàn thành bố trí tái định cư trước khi thu hồi đất đã gây khó khăn cho quá trình thực hiện, làm chậm tiến độ giải phóng mặt bằng để thực hiện các dự án quan trọng quốc gia, dự án đầu tư công khẩn cấp, dự án được đa số người dân đồng thuận. Việc bồi thường, hỗ trợ, tái định cư còn kéo dài, có nhiều khiếu nại, khiếu kiện; nguyên nhân chủ yếu xuất phát từ quy định về trình tự thu hồi đất còn thiếu tính linh hoạt; công tác chuẩn bị quỹ đất và khu tái định cư chưa chủ động; thủ tục bồi thường, hỗ trợ, tái định cư còn nhiều tầng nấc; việc xác định giá đất và tổ chức thực hiện còn kéo dài; trong một số trường hợp, người dân chưa đồng thuận với mức bồi thường hoặc cho rằng giá đất chưa sát với giá thị trường; đồng thời chưa có cơ chế đặc thù đối với các dự án cấp bách hoặc đã đạt sự đồng thuận cao.</w:t>
      </w:r>
    </w:p>
    <w:p>
      <w:pPr>
        <w:pStyle w:val="Normal"/>
        <w:spacing w:lineRule="exact" w:line="340" w:before="120" w:after="120"/>
        <w:ind w:firstLine="709"/>
        <w:jc w:val="both"/>
        <w:rPr>
          <w:rFonts w:ascii="Times New Roman" w:hAnsi="Times New Roman" w:cs="Times New Roman"/>
          <w:bCs/>
          <w:color w:val="auto"/>
          <w:sz w:val="28"/>
          <w:szCs w:val="28"/>
          <w:lang w:val="zu-ZA" w:eastAsia="en-US"/>
        </w:rPr>
      </w:pPr>
      <w:r>
        <w:rPr>
          <w:rFonts w:cs="Times New Roman" w:ascii="Times New Roman" w:hAnsi="Times New Roman"/>
          <w:bCs/>
          <w:color w:val="auto"/>
          <w:sz w:val="28"/>
          <w:szCs w:val="28"/>
          <w:lang w:val="zu-ZA" w:eastAsia="en-US"/>
        </w:rPr>
        <w:t>Việc xử lý các vấn đề về quyền sử dụng đất do lịch sử để lại còn nhiều khó khăn, vướng mắc như đất nông lâm trường, đất sau cổ phần hóa, đất dôi dư do sắp xếp lại trụ sở của các cơ quan nhà nước, cấp giấy chứng nhận cho các trường hợp có vi phạm về đất đai... Cơ chế xử lý khiếu nại về đất đai chưa đạt hiệu quả cao, còn nhiều vụ việc kéo dài, vượt cấp....</w:t>
      </w:r>
    </w:p>
    <w:p>
      <w:pPr>
        <w:pStyle w:val="Heading1"/>
        <w:spacing w:lineRule="exact" w:line="340" w:before="120" w:after="120"/>
        <w:ind w:firstLine="709"/>
        <w:jc w:val="both"/>
        <w:rPr>
          <w:rFonts w:ascii="Times New Roman" w:hAnsi="Times New Roman" w:cs="Times New Roman"/>
          <w:b/>
          <w:bCs/>
          <w:color w:val="auto"/>
          <w:sz w:val="28"/>
          <w:szCs w:val="28"/>
          <w:lang w:val="pl-PL"/>
        </w:rPr>
      </w:pPr>
      <w:r>
        <w:rPr>
          <w:rFonts w:cs="Times New Roman" w:ascii="Times New Roman" w:hAnsi="Times New Roman"/>
          <w:b/>
          <w:bCs/>
          <w:color w:val="auto"/>
          <w:sz w:val="28"/>
          <w:szCs w:val="28"/>
        </w:rPr>
        <w:t>II. MỤC ĐÍCH, QUAN ĐIỂM XÂY DỰNG CHÍNH SÁCH</w:t>
      </w:r>
    </w:p>
    <w:p>
      <w:pPr>
        <w:pStyle w:val="Heading2"/>
        <w:spacing w:lineRule="exact" w:line="340" w:before="120" w:after="120"/>
        <w:ind w:firstLine="709"/>
        <w:jc w:val="both"/>
        <w:rPr>
          <w:rFonts w:ascii="Times New Roman" w:hAnsi="Times New Roman" w:cs="Times New Roman"/>
          <w:b/>
          <w:bCs/>
          <w:i/>
          <w:color w:val="auto"/>
          <w:sz w:val="28"/>
          <w:szCs w:val="28"/>
        </w:rPr>
      </w:pPr>
      <w:r>
        <w:rPr>
          <w:rFonts w:cs="Times New Roman" w:ascii="Times New Roman" w:hAnsi="Times New Roman"/>
          <w:b/>
          <w:bCs/>
          <w:i/>
          <w:color w:val="auto"/>
          <w:sz w:val="28"/>
          <w:szCs w:val="28"/>
        </w:rPr>
        <w:t>1. Mục đích</w:t>
      </w:r>
    </w:p>
    <w:p>
      <w:pPr>
        <w:pStyle w:val="Normal"/>
        <w:spacing w:lineRule="exact" w:line="340" w:before="120" w:after="120"/>
        <w:ind w:firstLine="709"/>
        <w:jc w:val="both"/>
        <w:rPr>
          <w:rFonts w:ascii="Times New Roman" w:hAnsi="Times New Roman" w:cs="Times New Roman"/>
          <w:color w:val="auto"/>
          <w:sz w:val="28"/>
          <w:szCs w:val="28"/>
          <w:lang w:val="pl-PL"/>
        </w:rPr>
      </w:pPr>
      <w:r>
        <w:rPr>
          <w:rFonts w:cs="Times New Roman" w:ascii="Times New Roman" w:hAnsi="Times New Roman"/>
          <w:color w:val="auto"/>
          <w:sz w:val="28"/>
          <w:szCs w:val="28"/>
          <w:lang w:val="pl-PL"/>
        </w:rPr>
        <w:t>- Thể chế hóa đầy đủ, kịp thời các quan điểm, chủ trương của Đảng và Nhà nước về chính sách đất đai sau 04 năm thực hiện Nghị quyết số 18-NQ/TW và 02 năm thực hiện Luật Đất đai năm 2024; thúc đẩy phát triển kinh tế tư nhân, tạo đột phá trong khoa học, công nghệ, đổi mới sáng tạo và chuyển đổi số quốc gia; bảo đảm tính kế thừa và sự thống nhất của hệ thống pháp luật.</w:t>
      </w:r>
    </w:p>
    <w:p>
      <w:pPr>
        <w:pStyle w:val="Normal"/>
        <w:spacing w:lineRule="exact" w:line="340" w:before="120" w:after="120"/>
        <w:ind w:firstLine="709"/>
        <w:jc w:val="both"/>
        <w:rPr>
          <w:rFonts w:ascii="Times New Roman" w:hAnsi="Times New Roman" w:cs="Times New Roman"/>
          <w:color w:val="auto"/>
          <w:sz w:val="28"/>
          <w:szCs w:val="28"/>
          <w:lang w:val="pl-PL"/>
        </w:rPr>
      </w:pPr>
      <w:r>
        <w:rPr>
          <w:rFonts w:cs="Times New Roman" w:ascii="Times New Roman" w:hAnsi="Times New Roman"/>
          <w:color w:val="auto"/>
          <w:sz w:val="28"/>
          <w:szCs w:val="28"/>
          <w:lang w:val="pl-PL"/>
        </w:rPr>
        <w:t>- Giải quyết kịp thời các vấn đề ưu tiên, cấp bách nảy sinh từ thực tiễn; tháo gỡ hoàn toàn các “điểm nghẽn” về thể chế nhằm giải phóng nguồn lực đất đai cho phát triển kinh tế - xã hội.</w:t>
      </w:r>
    </w:p>
    <w:p>
      <w:pPr>
        <w:pStyle w:val="Normal"/>
        <w:spacing w:lineRule="exact" w:line="340" w:before="120" w:after="120"/>
        <w:ind w:firstLine="709"/>
        <w:jc w:val="both"/>
        <w:rPr>
          <w:rFonts w:ascii="Times New Roman" w:hAnsi="Times New Roman" w:cs="Times New Roman"/>
          <w:color w:val="auto"/>
          <w:sz w:val="28"/>
          <w:szCs w:val="28"/>
          <w:lang w:val="pl-PL"/>
        </w:rPr>
      </w:pPr>
      <w:r>
        <w:rPr>
          <w:rFonts w:cs="Times New Roman" w:ascii="Times New Roman" w:hAnsi="Times New Roman"/>
          <w:color w:val="auto"/>
          <w:sz w:val="28"/>
          <w:szCs w:val="28"/>
          <w:lang w:val="pl-PL"/>
        </w:rPr>
        <w:t>- Xây dựng mô hình quản lý đất đai tinh gọn, hiệu lực thông qua việc đẩy mạnh phân cấp, phân quyền và cải cách thủ tục hành chính, đáp ứng yêu cầu vận hành của chính quyền địa phương 02 cấp trong kỷ nguyên mới.</w:t>
      </w:r>
    </w:p>
    <w:p>
      <w:pPr>
        <w:pStyle w:val="Heading2"/>
        <w:spacing w:lineRule="exact" w:line="340" w:before="120" w:after="120"/>
        <w:ind w:firstLine="709"/>
        <w:jc w:val="both"/>
        <w:rPr>
          <w:rFonts w:ascii="Times New Roman" w:hAnsi="Times New Roman" w:cs="Times New Roman"/>
          <w:b/>
          <w:bCs/>
          <w:i/>
          <w:color w:val="auto"/>
          <w:sz w:val="28"/>
          <w:szCs w:val="28"/>
        </w:rPr>
      </w:pPr>
      <w:r>
        <w:rPr>
          <w:rFonts w:cs="Times New Roman" w:ascii="Times New Roman" w:hAnsi="Times New Roman"/>
          <w:b/>
          <w:bCs/>
          <w:i/>
          <w:color w:val="auto"/>
          <w:sz w:val="28"/>
          <w:szCs w:val="28"/>
        </w:rPr>
        <w:t>2. Quan điểm</w:t>
      </w:r>
    </w:p>
    <w:p>
      <w:pPr>
        <w:pStyle w:val="Normal"/>
        <w:spacing w:lineRule="exact" w:line="340" w:before="120" w:after="120"/>
        <w:ind w:firstLine="709"/>
        <w:jc w:val="both"/>
        <w:rPr>
          <w:rFonts w:ascii="Times New Roman" w:hAnsi="Times New Roman" w:cs="Times New Roman"/>
          <w:color w:val="auto"/>
          <w:sz w:val="28"/>
          <w:szCs w:val="28"/>
          <w:lang w:val="pl-PL"/>
        </w:rPr>
      </w:pPr>
      <w:r>
        <w:rPr>
          <w:rFonts w:cs="Times New Roman" w:ascii="Times New Roman" w:hAnsi="Times New Roman"/>
          <w:color w:val="auto"/>
          <w:sz w:val="28"/>
          <w:szCs w:val="28"/>
          <w:lang w:val="pl-PL"/>
        </w:rPr>
        <w:t>- Tăng cường sự lãnh đạo của Đảng và quản lý của Nhà nước, phát huy tối đa vai trò giám sát của các cơ quan tư pháp, Mặt trận Tổ quốc, các đoàn thể và toàn dân; không trái với các điều ước quốc tế mà Việt Nam là thành viên, không ảnh hưởng đến việc bảo đảm bình đẳng giới, chính sách dân tộc.</w:t>
      </w:r>
    </w:p>
    <w:p>
      <w:pPr>
        <w:pStyle w:val="Normal"/>
        <w:spacing w:lineRule="exact" w:line="340" w:before="120" w:after="120"/>
        <w:ind w:firstLine="709"/>
        <w:jc w:val="both"/>
        <w:rPr>
          <w:rFonts w:ascii="Times New Roman" w:hAnsi="Times New Roman" w:cs="Times New Roman"/>
          <w:color w:val="auto"/>
          <w:spacing w:val="-4"/>
          <w:sz w:val="28"/>
          <w:szCs w:val="28"/>
          <w:lang w:val="pl-PL"/>
        </w:rPr>
      </w:pPr>
      <w:r>
        <w:rPr>
          <w:rFonts w:cs="Times New Roman" w:ascii="Times New Roman" w:hAnsi="Times New Roman"/>
          <w:color w:val="auto"/>
          <w:spacing w:val="-4"/>
          <w:sz w:val="28"/>
          <w:szCs w:val="28"/>
          <w:lang w:val="pl-PL"/>
        </w:rPr>
        <w:t>- Kiên trì nguyên tắc phân cấp thẩm quyền gắn liền với kiểm tra, giám sát chặt chẽ, bảo đảm tính quản lý thống nhất, thông suốt từ Trung ương đến địa phương.</w:t>
      </w:r>
    </w:p>
    <w:p>
      <w:pPr>
        <w:pStyle w:val="Normal"/>
        <w:spacing w:lineRule="exact" w:line="340" w:before="120" w:after="120"/>
        <w:ind w:firstLine="709"/>
        <w:jc w:val="both"/>
        <w:rPr>
          <w:rFonts w:ascii="Times New Roman" w:hAnsi="Times New Roman" w:cs="Times New Roman"/>
          <w:color w:val="auto"/>
          <w:sz w:val="28"/>
          <w:szCs w:val="28"/>
          <w:lang w:val="pl-PL"/>
        </w:rPr>
      </w:pPr>
      <w:r>
        <w:rPr>
          <w:rFonts w:cs="Times New Roman" w:ascii="Times New Roman" w:hAnsi="Times New Roman"/>
          <w:color w:val="auto"/>
          <w:sz w:val="28"/>
          <w:szCs w:val="28"/>
          <w:lang w:val="pl-PL"/>
        </w:rPr>
        <w:t>- Sửa đổi, hoàn thiện các quy định pháp luật dựa trên cơ sở thực tiễn; luật hóa các cơ chế đã được kiểm nghiệm phù hợp nhằm bảo đảm lợi ích trước mắt, lâu dài và an ninh quốc gia.</w:t>
      </w:r>
    </w:p>
    <w:p>
      <w:pPr>
        <w:pStyle w:val="Normal"/>
        <w:spacing w:lineRule="exact" w:line="340" w:before="120" w:after="120"/>
        <w:ind w:firstLine="709"/>
        <w:jc w:val="both"/>
        <w:rPr>
          <w:rFonts w:ascii="Times New Roman" w:hAnsi="Times New Roman" w:cs="Times New Roman"/>
          <w:color w:val="auto"/>
          <w:sz w:val="28"/>
          <w:szCs w:val="28"/>
          <w:lang w:val="pl-PL"/>
        </w:rPr>
      </w:pPr>
      <w:r>
        <w:rPr>
          <w:rFonts w:cs="Times New Roman" w:ascii="Times New Roman" w:hAnsi="Times New Roman"/>
          <w:color w:val="auto"/>
          <w:sz w:val="28"/>
          <w:szCs w:val="28"/>
          <w:lang w:val="pl-PL"/>
        </w:rPr>
        <w:t>- Hoàn thiện đồng bộ cơ chế, chế tài để chủ động ngăn ngừa, xử lý nghiêm các hành vi vi phạm; khắc phục triệt để tình trạng lãng phí, thất thoát tài nguyên và khiếu kiện về đất đai.</w:t>
      </w:r>
    </w:p>
    <w:p>
      <w:pPr>
        <w:pStyle w:val="Normal"/>
        <w:spacing w:lineRule="exact" w:line="340" w:before="120" w:after="120"/>
        <w:ind w:firstLine="709"/>
        <w:jc w:val="both"/>
        <w:rPr>
          <w:rFonts w:ascii="Times New Roman" w:hAnsi="Times New Roman" w:cs="Times New Roman"/>
          <w:color w:val="auto"/>
          <w:sz w:val="28"/>
          <w:szCs w:val="28"/>
          <w:lang w:val="pl-PL"/>
        </w:rPr>
      </w:pPr>
      <w:r>
        <w:rPr>
          <w:rFonts w:cs="Times New Roman" w:ascii="Times New Roman" w:hAnsi="Times New Roman"/>
          <w:color w:val="auto"/>
          <w:sz w:val="28"/>
          <w:szCs w:val="28"/>
          <w:lang w:val="pl-PL"/>
        </w:rPr>
        <w:t>- Hoàn thiện đồng bộ cơ chế, chế tài để chủ động ngăn ngừa, xử lý nghiêm các hành vi vi phạm; khắc phục sự phân tán; tạo nền tảng pháp lý vững chắc cho việc khai thác hiệu quả nguồn lực đất đai trong điều kiện hội nhập quốc tế.</w:t>
      </w:r>
    </w:p>
    <w:p>
      <w:pPr>
        <w:pStyle w:val="Heading1"/>
        <w:spacing w:lineRule="exact" w:line="340" w:before="120" w:after="120"/>
        <w:ind w:firstLine="709"/>
        <w:jc w:val="both"/>
        <w:rPr>
          <w:rFonts w:ascii="Times New Roman" w:hAnsi="Times New Roman" w:cs="Times New Roman"/>
          <w:color w:val="auto"/>
          <w:sz w:val="28"/>
          <w:szCs w:val="28"/>
          <w:lang w:val="pl-PL"/>
        </w:rPr>
      </w:pPr>
      <w:r>
        <w:rPr>
          <w:rFonts w:cs="Times New Roman" w:ascii="Times New Roman" w:hAnsi="Times New Roman"/>
          <w:b/>
          <w:bCs/>
          <w:color w:val="auto"/>
          <w:sz w:val="28"/>
          <w:szCs w:val="28"/>
        </w:rPr>
        <w:t>III. PHẠM VI, ĐỐI TƯỢNG ÁP DỤNG</w:t>
      </w:r>
      <w:r>
        <w:rPr>
          <w:rFonts w:cs="Times New Roman" w:ascii="Times New Roman" w:hAnsi="Times New Roman"/>
          <w:b/>
          <w:bCs/>
          <w:color w:val="auto"/>
          <w:sz w:val="28"/>
          <w:szCs w:val="28"/>
          <w:lang w:val="pl-PL"/>
        </w:rPr>
        <w:t xml:space="preserve"> CỦA CHÍNH SÁCH</w:t>
      </w:r>
    </w:p>
    <w:p>
      <w:pPr>
        <w:pStyle w:val="Heading2"/>
        <w:spacing w:lineRule="exact" w:line="340" w:before="120" w:after="120"/>
        <w:ind w:firstLine="709"/>
        <w:jc w:val="both"/>
        <w:rPr>
          <w:rFonts w:ascii="Times New Roman" w:hAnsi="Times New Roman" w:cs="Times New Roman"/>
          <w:b/>
          <w:bCs/>
          <w:i/>
          <w:color w:val="auto"/>
          <w:sz w:val="28"/>
          <w:szCs w:val="28"/>
        </w:rPr>
      </w:pPr>
      <w:r>
        <w:rPr>
          <w:rFonts w:cs="Times New Roman" w:ascii="Times New Roman" w:hAnsi="Times New Roman"/>
          <w:b/>
          <w:bCs/>
          <w:i/>
          <w:color w:val="auto"/>
          <w:sz w:val="28"/>
          <w:szCs w:val="28"/>
        </w:rPr>
        <w:t>1. Phạm vi điều chỉnh</w:t>
      </w:r>
    </w:p>
    <w:p>
      <w:pPr>
        <w:pStyle w:val="Normal"/>
        <w:spacing w:lineRule="exact" w:line="340" w:before="120" w:after="120"/>
        <w:ind w:firstLine="709"/>
        <w:jc w:val="both"/>
        <w:rPr>
          <w:rFonts w:ascii="Times New Roman" w:hAnsi="Times New Roman" w:cs="Times New Roman"/>
          <w:color w:val="auto"/>
          <w:sz w:val="28"/>
          <w:szCs w:val="28"/>
          <w:lang w:val="pl-PL"/>
        </w:rPr>
      </w:pPr>
      <w:r>
        <w:rPr>
          <w:rFonts w:cs="Times New Roman" w:ascii="Times New Roman" w:hAnsi="Times New Roman"/>
          <w:color w:val="auto"/>
          <w:sz w:val="28"/>
          <w:szCs w:val="28"/>
          <w:lang w:val="pl-PL"/>
        </w:rPr>
        <w:t>- Bổ sung quy định về một số cơ chế, chính sách tháo gỡ khó khăn, vướng mắc trong tổ chức thi hành Luật Đất đai thông qua việc Luật hóa các quy định tại Nghị quyết số 254/2025/QH15 của Quốc hội; Nghị quyết số 66.3/2025/NQ-CP, số 17/2026/NQ-CP của Chính phủ; luật hóa một số Nghị quyết của Quốc hội về cơ chế đặc thù đã ban hành trong thời gian qua</w:t>
      </w:r>
      <w:r>
        <w:rPr>
          <w:rStyle w:val="FootnoteReference"/>
          <w:rFonts w:cs="Times New Roman" w:ascii="Times New Roman" w:hAnsi="Times New Roman"/>
          <w:color w:val="auto"/>
          <w:sz w:val="28"/>
          <w:szCs w:val="28"/>
          <w:lang w:val="pl-PL"/>
        </w:rPr>
        <w:footnoteReference w:id="9"/>
      </w:r>
      <w:r>
        <w:rPr>
          <w:rFonts w:cs="Times New Roman" w:ascii="Times New Roman" w:hAnsi="Times New Roman"/>
          <w:color w:val="auto"/>
          <w:sz w:val="28"/>
          <w:szCs w:val="28"/>
          <w:lang w:val="pl-PL"/>
        </w:rPr>
        <w:t>.</w:t>
      </w:r>
    </w:p>
    <w:p>
      <w:pPr>
        <w:pStyle w:val="Normal"/>
        <w:spacing w:lineRule="exact" w:line="340" w:before="120" w:after="120"/>
        <w:ind w:firstLine="709"/>
        <w:jc w:val="both"/>
        <w:rPr>
          <w:rFonts w:ascii="Times New Roman" w:hAnsi="Times New Roman" w:cs="Times New Roman"/>
          <w:color w:val="auto"/>
          <w:sz w:val="28"/>
          <w:szCs w:val="28"/>
          <w:lang w:val="pl-PL"/>
        </w:rPr>
      </w:pPr>
      <w:r>
        <w:rPr>
          <w:rFonts w:cs="Times New Roman" w:ascii="Times New Roman" w:hAnsi="Times New Roman"/>
          <w:color w:val="auto"/>
          <w:sz w:val="28"/>
          <w:szCs w:val="28"/>
          <w:lang w:val="pl-PL"/>
        </w:rPr>
        <w:t>- Sửa đổi, bổ sung các quy định về thẩm quyền thực hiện nội dung quản lý nhà nước về đất đai cho phù hợp với tổ chức chính quyền địa phương 02 cấp.</w:t>
      </w:r>
    </w:p>
    <w:p>
      <w:pPr>
        <w:pStyle w:val="Normal"/>
        <w:spacing w:lineRule="exact" w:line="340" w:before="120" w:after="120"/>
        <w:ind w:firstLine="709"/>
        <w:jc w:val="both"/>
        <w:rPr>
          <w:rFonts w:ascii="Times New Roman" w:hAnsi="Times New Roman" w:cs="Times New Roman"/>
          <w:color w:val="auto"/>
          <w:sz w:val="28"/>
          <w:szCs w:val="28"/>
          <w:lang w:val="pl-PL"/>
        </w:rPr>
      </w:pPr>
      <w:r>
        <w:rPr>
          <w:rFonts w:cs="Times New Roman" w:ascii="Times New Roman" w:hAnsi="Times New Roman"/>
          <w:color w:val="auto"/>
          <w:sz w:val="28"/>
          <w:szCs w:val="28"/>
          <w:lang w:val="pl-PL"/>
        </w:rPr>
        <w:t>- Thể chế chính sách mới của Đảng được chỉ ra tại các Nghị quyết, Kết luận của Ban chấp hành Trung ương, Bộ Chính trị đã được ban hành trong thời gian ua và tại Nghị quyết của Ban chấp hành Trung ương về quan điểm, định hướng sửa đổi Luật Đất đai và các luật có liên quan</w:t>
      </w:r>
      <w:r>
        <w:rPr>
          <w:rStyle w:val="FootnoteReference"/>
          <w:rFonts w:cs="Times New Roman" w:ascii="Times New Roman" w:hAnsi="Times New Roman"/>
          <w:color w:val="auto"/>
          <w:sz w:val="28"/>
          <w:szCs w:val="28"/>
          <w:lang w:val="pl-PL"/>
        </w:rPr>
        <w:footnoteReference w:id="10"/>
      </w:r>
      <w:r>
        <w:rPr>
          <w:rFonts w:cs="Times New Roman" w:ascii="Times New Roman" w:hAnsi="Times New Roman"/>
          <w:color w:val="auto"/>
          <w:sz w:val="28"/>
          <w:szCs w:val="28"/>
          <w:lang w:val="pl-PL"/>
        </w:rPr>
        <w:t xml:space="preserve"> (sau khi được Ban Chấp hành Trung ương thông qua) </w:t>
      </w:r>
      <w:r>
        <w:rPr>
          <w:rFonts w:cs="Times New Roman" w:ascii="Times New Roman" w:hAnsi="Times New Roman"/>
          <w:color w:val="auto"/>
          <w:sz w:val="28"/>
          <w:szCs w:val="28"/>
        </w:rPr>
        <w:t>gồm chính sách mới</w:t>
      </w:r>
      <w:r>
        <w:rPr>
          <w:rFonts w:cs="Times New Roman" w:ascii="Times New Roman" w:hAnsi="Times New Roman"/>
          <w:color w:val="auto"/>
          <w:sz w:val="28"/>
          <w:szCs w:val="28"/>
          <w:lang w:val="pl-PL"/>
        </w:rPr>
        <w:t xml:space="preserve"> về quy hoạch, kế hoạch sử dụng đất; giao đất, cho thuê đất, chuyển mục đích sử dụng đất; thu hồi đất, bồi thường, hỗ trợ, tái định cư; giá đất, tài chính về đất đai; các quy định pháp luật có liên quan đến thị trường bất động sản, trong đó có thị trường quyền sử dụng đất; cơ chế, chính sách về quản lý, sử dụng đất nông nghiệp, thương mại, dịch vụ và các quy định có liên quan đến thời hạn sử dụng đất; quản lý và sử dụng đất kết hợp đa mục đích; đẩy mạnh cải cách thủ tục hành chính, chuyển đổi số và nâng cao năng lực quản lý nhà nước về đất đai; thanh tra, kiểm tra, giám sát, xử lý vi phạm; giải quyết tranh chấp, khiếu nại, tố cáo liên quan đến đất đai….</w:t>
      </w:r>
    </w:p>
    <w:p>
      <w:pPr>
        <w:pStyle w:val="Normal"/>
        <w:spacing w:lineRule="exact" w:line="340" w:before="120" w:after="120"/>
        <w:ind w:firstLine="709"/>
        <w:jc w:val="both"/>
        <w:rPr>
          <w:rFonts w:ascii="Times New Roman" w:hAnsi="Times New Roman" w:cs="Times New Roman"/>
          <w:color w:val="auto"/>
          <w:sz w:val="28"/>
          <w:szCs w:val="28"/>
          <w:lang w:val="pl-PL"/>
        </w:rPr>
      </w:pPr>
      <w:r>
        <w:rPr>
          <w:rFonts w:cs="Times New Roman" w:ascii="Times New Roman" w:hAnsi="Times New Roman"/>
          <w:color w:val="auto"/>
          <w:sz w:val="28"/>
          <w:szCs w:val="28"/>
        </w:rPr>
        <w:t xml:space="preserve">Riêng các chính sách để sửa đổi các luật có liên quan theo tinh thần </w:t>
      </w:r>
      <w:r>
        <w:rPr>
          <w:rFonts w:cs="Times New Roman" w:ascii="Times New Roman" w:hAnsi="Times New Roman"/>
          <w:color w:val="auto"/>
          <w:sz w:val="28"/>
          <w:szCs w:val="28"/>
          <w:lang w:val="pl-PL"/>
        </w:rPr>
        <w:t>Nghị quyết mới</w:t>
      </w:r>
      <w:r>
        <w:rPr>
          <w:rFonts w:cs="Times New Roman" w:ascii="Times New Roman" w:hAnsi="Times New Roman"/>
          <w:color w:val="auto"/>
          <w:sz w:val="28"/>
          <w:szCs w:val="28"/>
        </w:rPr>
        <w:t xml:space="preserve"> </w:t>
      </w:r>
      <w:r>
        <w:rPr>
          <w:rFonts w:cs="Times New Roman" w:ascii="Times New Roman" w:hAnsi="Times New Roman"/>
          <w:color w:val="auto"/>
          <w:sz w:val="28"/>
          <w:szCs w:val="28"/>
          <w:lang w:val="pl-PL"/>
        </w:rPr>
        <w:t xml:space="preserve">của Ban chấp hành Trung ương về </w:t>
      </w:r>
      <w:r>
        <w:rPr>
          <w:rFonts w:cs="Times New Roman" w:ascii="Times New Roman" w:hAnsi="Times New Roman"/>
          <w:color w:val="auto"/>
          <w:sz w:val="28"/>
          <w:szCs w:val="28"/>
        </w:rPr>
        <w:t>“Q</w:t>
      </w:r>
      <w:r>
        <w:rPr>
          <w:rFonts w:cs="Times New Roman" w:ascii="Times New Roman" w:hAnsi="Times New Roman"/>
          <w:color w:val="auto"/>
          <w:sz w:val="28"/>
          <w:szCs w:val="28"/>
          <w:lang w:val="pl-PL"/>
        </w:rPr>
        <w:t>uan điểm, định hướng sửa đổi Luật Đất đai và các luật có liên quan</w:t>
      </w:r>
      <w:r>
        <w:rPr>
          <w:rFonts w:cs="Times New Roman" w:ascii="Times New Roman" w:hAnsi="Times New Roman"/>
          <w:color w:val="auto"/>
          <w:sz w:val="28"/>
          <w:szCs w:val="28"/>
        </w:rPr>
        <w:t>” sẽ được thực hiện theo nhiệm vụ được giao cho các cơ quan chủ trì soạn thảo các Luật có liên quan theo Chương trình hành động của Bộ Chính trị</w:t>
      </w:r>
      <w:r>
        <w:rPr>
          <w:rStyle w:val="FootnoteReference"/>
          <w:rFonts w:cs="Times New Roman" w:ascii="Times New Roman" w:hAnsi="Times New Roman"/>
          <w:color w:val="auto"/>
          <w:sz w:val="28"/>
          <w:szCs w:val="28"/>
        </w:rPr>
        <w:footnoteReference w:id="11"/>
      </w:r>
      <w:r>
        <w:rPr>
          <w:rFonts w:cs="Times New Roman" w:ascii="Times New Roman" w:hAnsi="Times New Roman"/>
          <w:color w:val="auto"/>
          <w:sz w:val="28"/>
          <w:szCs w:val="28"/>
        </w:rPr>
        <w:t xml:space="preserve"> như</w:t>
      </w:r>
      <w:r>
        <w:rPr>
          <w:rFonts w:cs="Times New Roman" w:ascii="Times New Roman" w:hAnsi="Times New Roman"/>
          <w:color w:val="auto"/>
          <w:sz w:val="28"/>
          <w:szCs w:val="28"/>
          <w:lang w:val="pl-PL"/>
        </w:rPr>
        <w:t>: Luật Nhà ở, Luật Kinh doanh bất động sản, Luật Xây dựng, Luật Quy hoạch, Luật Quy hoạch đô thị và nông thôn, Luật Đấu thầu, Luật Đấu giá tài sản, Luật Đầu tư, Luật Đầu tư công, Luật Đầu tư theo phương thức đối tác công tư, Luật Ngân sách nhà nước, Các luật về thuế liên quan đến đất đai, Luật Quản lý, sử dụng tài sản công, Luật Quản lý và đầu tư vốn nhà nước tại doanh nghiệp, Luật Giá và một số luật khác có liên quan.</w:t>
      </w:r>
    </w:p>
    <w:p>
      <w:pPr>
        <w:pStyle w:val="Heading2"/>
        <w:spacing w:lineRule="exact" w:line="340" w:before="120" w:after="120"/>
        <w:ind w:firstLine="709"/>
        <w:jc w:val="both"/>
        <w:rPr>
          <w:rFonts w:ascii="Times New Roman" w:hAnsi="Times New Roman" w:cs="Times New Roman"/>
          <w:b/>
          <w:bCs/>
          <w:i/>
          <w:color w:val="auto"/>
          <w:sz w:val="28"/>
          <w:szCs w:val="28"/>
        </w:rPr>
      </w:pPr>
      <w:r>
        <w:rPr>
          <w:rFonts w:cs="Times New Roman" w:ascii="Times New Roman" w:hAnsi="Times New Roman"/>
          <w:b/>
          <w:bCs/>
          <w:i/>
          <w:color w:val="auto"/>
          <w:sz w:val="28"/>
          <w:szCs w:val="28"/>
        </w:rPr>
        <w:t>2. Đối tượng áp dụng</w:t>
      </w:r>
    </w:p>
    <w:p>
      <w:pPr>
        <w:pStyle w:val="Normal"/>
        <w:spacing w:lineRule="exact" w:line="340" w:before="120" w:after="120"/>
        <w:ind w:firstLine="709"/>
        <w:jc w:val="both"/>
        <w:rPr>
          <w:rFonts w:ascii="Times New Roman" w:hAnsi="Times New Roman" w:cs="Times New Roman"/>
          <w:bCs/>
          <w:color w:val="auto"/>
          <w:sz w:val="28"/>
          <w:szCs w:val="28"/>
          <w:lang w:val="pl-PL" w:eastAsia="en-US"/>
        </w:rPr>
      </w:pPr>
      <w:r>
        <w:rPr>
          <w:rFonts w:cs="Times New Roman" w:ascii="Times New Roman" w:hAnsi="Times New Roman"/>
          <w:bCs/>
          <w:color w:val="auto"/>
          <w:sz w:val="28"/>
          <w:szCs w:val="28"/>
          <w:lang w:val="pl-PL" w:eastAsia="en-US"/>
        </w:rPr>
        <w:t>Luật này áp dụng đối với Cơ quan nhà nước thực hiện quyền hạn và trách nhiệm đại diện chủ sở hữu toàn dân về đất đai, thực hiện nhiệm vụ thống nhất quản lý nhà nước về đất đai; người sử dụng đất và các đối tượng khác có liên quan đến việc quản lý, sử dụng đất đai.</w:t>
      </w:r>
    </w:p>
    <w:p>
      <w:pPr>
        <w:pStyle w:val="Normal"/>
        <w:numPr>
          <w:ilvl w:val="0"/>
          <w:numId w:val="0"/>
        </w:numPr>
        <w:spacing w:lineRule="exact" w:line="340" w:before="120" w:after="120"/>
        <w:ind w:firstLine="709"/>
        <w:jc w:val="both"/>
        <w:outlineLvl w:val="0"/>
        <w:rPr>
          <w:rFonts w:ascii="Times New Roman" w:hAnsi="Times New Roman" w:cs="Times New Roman"/>
          <w:b/>
          <w:bCs/>
          <w:color w:val="auto"/>
          <w:spacing w:val="-8"/>
          <w:sz w:val="28"/>
          <w:szCs w:val="28"/>
          <w:lang w:val="pl-PL"/>
        </w:rPr>
      </w:pPr>
      <w:r>
        <w:rPr>
          <w:rFonts w:cs="Times New Roman" w:ascii="Times New Roman" w:hAnsi="Times New Roman"/>
          <w:b/>
          <w:bCs/>
          <w:color w:val="auto"/>
          <w:spacing w:val="-8"/>
          <w:sz w:val="28"/>
          <w:szCs w:val="28"/>
          <w:lang w:val="pl-PL"/>
        </w:rPr>
        <w:t>I</w:t>
      </w:r>
      <w:r>
        <w:rPr>
          <w:rFonts w:cs="Times New Roman" w:ascii="Times New Roman" w:hAnsi="Times New Roman"/>
          <w:b/>
          <w:bCs/>
          <w:color w:val="auto"/>
          <w:spacing w:val="-8"/>
          <w:sz w:val="28"/>
          <w:szCs w:val="28"/>
        </w:rPr>
        <w:t>V. QUÁ TRÌNH XÂY DỰNG CHÍNH SÁCH</w:t>
      </w:r>
    </w:p>
    <w:p>
      <w:pPr>
        <w:pStyle w:val="Normal"/>
        <w:widowControl/>
        <w:spacing w:lineRule="exact" w:line="340" w:before="120" w:after="120"/>
        <w:ind w:firstLine="709"/>
        <w:jc w:val="both"/>
        <w:rPr>
          <w:rFonts w:ascii="Times New Roman" w:hAnsi="Times New Roman" w:cs="Times New Roman"/>
          <w:bCs/>
          <w:color w:val="auto"/>
          <w:sz w:val="28"/>
          <w:szCs w:val="28"/>
          <w:lang w:val="pl-PL" w:eastAsia="en-US"/>
        </w:rPr>
      </w:pPr>
      <w:r>
        <w:rPr>
          <w:rFonts w:cs="Times New Roman" w:ascii="Times New Roman" w:hAnsi="Times New Roman"/>
          <w:bCs/>
          <w:iCs/>
          <w:color w:val="auto"/>
          <w:sz w:val="28"/>
          <w:szCs w:val="28"/>
          <w:lang w:val="pl-PL" w:eastAsia="en-US"/>
        </w:rPr>
        <w:t>1.</w:t>
      </w:r>
      <w:r>
        <w:rPr>
          <w:rFonts w:cs="Times New Roman" w:ascii="Times New Roman" w:hAnsi="Times New Roman"/>
          <w:iCs/>
          <w:color w:val="auto"/>
          <w:sz w:val="28"/>
          <w:szCs w:val="28"/>
          <w:lang w:val="pl-PL" w:eastAsia="en-US"/>
        </w:rPr>
        <w:t xml:space="preserve"> Bộ Nông nghiệp và Môi trường đã hoàn thiện hồ sơ đề xuất </w:t>
      </w:r>
      <w:r>
        <w:rPr>
          <w:rFonts w:cs="Times New Roman" w:ascii="Times New Roman" w:hAnsi="Times New Roman"/>
          <w:bCs/>
          <w:color w:val="auto"/>
          <w:sz w:val="28"/>
          <w:szCs w:val="28"/>
          <w:lang w:val="pl-PL" w:eastAsia="en-US"/>
        </w:rPr>
        <w:t>bổ sung dự án Luật Đất đai (sửa đổi) vào Chương trình lập pháp năm 2026.</w:t>
      </w:r>
    </w:p>
    <w:p>
      <w:pPr>
        <w:pStyle w:val="Normal"/>
        <w:widowControl/>
        <w:spacing w:lineRule="exact" w:line="340" w:before="120" w:after="120"/>
        <w:ind w:firstLine="709"/>
        <w:jc w:val="both"/>
        <w:rPr>
          <w:rFonts w:ascii="Times New Roman" w:hAnsi="Times New Roman" w:cs="Times New Roman"/>
          <w:iCs/>
          <w:color w:val="auto"/>
          <w:spacing w:val="-8"/>
          <w:sz w:val="28"/>
          <w:szCs w:val="28"/>
          <w:lang w:val="pl-PL" w:eastAsia="en-US"/>
        </w:rPr>
      </w:pPr>
      <w:r>
        <w:rPr>
          <w:rFonts w:cs="Times New Roman" w:ascii="Times New Roman" w:hAnsi="Times New Roman"/>
          <w:bCs/>
          <w:color w:val="auto"/>
          <w:spacing w:val="-8"/>
          <w:sz w:val="28"/>
          <w:szCs w:val="28"/>
          <w:lang w:val="pl-PL" w:eastAsia="en-US"/>
        </w:rPr>
        <w:t>2. Ngày 06/6/2026, Chính phủ đã ban hành Nghị quyết số 147/NQ-CP thông qua đề xuất bổ sung dự án Luật Đất đai (sửa đổi) vào Chương trình lập pháp năm 2026.</w:t>
      </w:r>
    </w:p>
    <w:p>
      <w:pPr>
        <w:pStyle w:val="Normal"/>
        <w:spacing w:lineRule="exact" w:line="340" w:before="120" w:after="120"/>
        <w:ind w:firstLine="709"/>
        <w:jc w:val="both"/>
        <w:rPr>
          <w:rFonts w:ascii="Times New Roman" w:hAnsi="Times New Roman" w:cs="Times New Roman"/>
          <w:color w:val="auto"/>
          <w:sz w:val="28"/>
          <w:szCs w:val="28"/>
          <w:lang w:val="pl-PL"/>
        </w:rPr>
      </w:pPr>
      <w:r>
        <w:rPr>
          <w:rFonts w:cs="Times New Roman" w:ascii="Times New Roman" w:hAnsi="Times New Roman"/>
          <w:iCs/>
          <w:color w:val="auto"/>
          <w:sz w:val="28"/>
          <w:szCs w:val="28"/>
          <w:lang w:val="pl-PL" w:eastAsia="en-US"/>
        </w:rPr>
        <w:t xml:space="preserve">3. Ngày 09/6/2026, Chính phủ đã có Tờ trình số 324/TTr-CP gửi Ủy ban Thường vụ Quốc hội đề xuất bổ sung dự án Luật Đất đai (sửa đổi) vào Chương trình lập pháp của Quốc hội năm 2026. Ngày 26/6/2026, UBTVQH đã thông qua </w:t>
      </w:r>
      <w:r>
        <w:rPr>
          <w:rFonts w:cs="Times New Roman" w:ascii="Times New Roman" w:hAnsi="Times New Roman"/>
          <w:color w:val="auto"/>
          <w:sz w:val="28"/>
          <w:szCs w:val="28"/>
          <w:lang w:val="pl-PL"/>
        </w:rPr>
        <w:t>Nghị quyết số 07/2026/UBTVQH16 điều chỉnh Chương trình lập pháp năm 2026, đã bổ sung dự án Luật Đất đai (sửa đổi) vào Chương trình lập pháp năm 2026, trình Quốc hội xem xét tại Kỳ họp thứ 2 (tháng 10 năm 2026).</w:t>
      </w:r>
    </w:p>
    <w:p>
      <w:pPr>
        <w:pStyle w:val="Normal"/>
        <w:widowControl/>
        <w:spacing w:lineRule="exact" w:line="340" w:before="120" w:after="120"/>
        <w:ind w:firstLine="709"/>
        <w:jc w:val="both"/>
        <w:rPr>
          <w:rFonts w:ascii="Times New Roman" w:hAnsi="Times New Roman" w:cs="Times New Roman"/>
          <w:iCs/>
          <w:color w:val="auto"/>
          <w:sz w:val="28"/>
          <w:szCs w:val="28"/>
          <w:lang w:val="pl-PL" w:eastAsia="en-US"/>
        </w:rPr>
      </w:pPr>
      <w:r>
        <w:rPr>
          <w:rFonts w:cs="Times New Roman" w:ascii="Times New Roman" w:hAnsi="Times New Roman"/>
          <w:iCs/>
          <w:color w:val="auto"/>
          <w:sz w:val="28"/>
          <w:szCs w:val="28"/>
          <w:lang w:val="pl-PL" w:eastAsia="en-US"/>
        </w:rPr>
        <w:t xml:space="preserve">4. Bộ Nông nghiệp và Môi trường đã thành lập Tổ soạn thảo dự án Luật (Quyết định số 1279/QĐ-BNNMT ngày 11/4/2026). </w:t>
      </w:r>
    </w:p>
    <w:p>
      <w:pPr>
        <w:pStyle w:val="Normal"/>
        <w:widowControl/>
        <w:spacing w:lineRule="exact" w:line="340" w:before="120" w:after="120"/>
        <w:ind w:firstLine="709"/>
        <w:jc w:val="both"/>
        <w:rPr>
          <w:rFonts w:ascii="Times New Roman" w:hAnsi="Times New Roman" w:cs="Times New Roman"/>
          <w:iCs/>
          <w:color w:val="auto"/>
          <w:sz w:val="28"/>
          <w:szCs w:val="28"/>
          <w:lang w:val="pl-PL" w:eastAsia="en-US"/>
        </w:rPr>
      </w:pPr>
      <w:r>
        <w:rPr>
          <w:rFonts w:cs="Times New Roman" w:ascii="Times New Roman" w:hAnsi="Times New Roman"/>
          <w:iCs/>
          <w:color w:val="auto"/>
          <w:sz w:val="28"/>
          <w:szCs w:val="28"/>
          <w:lang w:val="pl-PL" w:eastAsia="en-US"/>
        </w:rPr>
        <w:t>5. Bộ đã có văn bản đề nghị các bộ, ngành, địa phương đánh giá tình hình thi hành Luật Đất đai và đề xuất sửa đổi, bổ sung Luật Đất đai</w:t>
      </w:r>
      <w:r>
        <w:rPr>
          <w:rStyle w:val="FootnoteReference"/>
          <w:rFonts w:cs="Times New Roman" w:ascii="Times New Roman" w:hAnsi="Times New Roman"/>
          <w:iCs/>
          <w:color w:val="auto"/>
          <w:sz w:val="28"/>
          <w:szCs w:val="28"/>
          <w:lang w:val="pl-PL" w:eastAsia="en-US"/>
        </w:rPr>
        <w:footnoteReference w:id="12"/>
      </w:r>
      <w:r>
        <w:rPr>
          <w:rFonts w:cs="Times New Roman" w:ascii="Times New Roman" w:hAnsi="Times New Roman"/>
          <w:iCs/>
          <w:color w:val="auto"/>
          <w:sz w:val="28"/>
          <w:szCs w:val="28"/>
          <w:lang w:val="pl-PL" w:eastAsia="en-US"/>
        </w:rPr>
        <w:t xml:space="preserve">. Trên cơ sở đó, đã xây dựng hồ sơ đề xuất chính sách. Ngày 26/6/2026, Bộ Nông nghiệp và Môi trường đã có Công văn số 430/BNNMT-QLĐĐ gửi hồ sơ đề xuất chính sách để lấy ý kiến các bộ, ngành, địa phương. Đến thời điểm hiện tại, Bộ đã nhận được </w:t>
      </w:r>
      <w:r>
        <w:rPr>
          <w:rFonts w:cs="Times New Roman" w:ascii="Times New Roman" w:hAnsi="Times New Roman"/>
          <w:b/>
          <w:iCs/>
          <w:color w:val="auto"/>
          <w:sz w:val="28"/>
          <w:szCs w:val="28"/>
          <w:lang w:val="pl-PL" w:eastAsia="en-US"/>
        </w:rPr>
        <w:t>67</w:t>
      </w:r>
      <w:r>
        <w:rPr>
          <w:rFonts w:cs="Times New Roman" w:ascii="Times New Roman" w:hAnsi="Times New Roman"/>
          <w:iCs/>
          <w:color w:val="auto"/>
          <w:sz w:val="28"/>
          <w:szCs w:val="28"/>
          <w:lang w:val="pl-PL" w:eastAsia="en-US"/>
        </w:rPr>
        <w:t xml:space="preserve"> văn bản của cơ quan, tổ chức góp ý đối với hồ sơ đề xuất chính sách của dự án Luật Đất đai (sửa đổi)</w:t>
      </w:r>
      <w:r>
        <w:rPr>
          <w:rStyle w:val="FootnoteReference"/>
          <w:rFonts w:cs="Times New Roman" w:ascii="Times New Roman" w:hAnsi="Times New Roman"/>
          <w:color w:val="auto"/>
          <w:sz w:val="28"/>
          <w:szCs w:val="28"/>
        </w:rPr>
        <w:footnoteReference w:id="13"/>
      </w:r>
      <w:r>
        <w:rPr>
          <w:rFonts w:cs="Times New Roman" w:ascii="Times New Roman" w:hAnsi="Times New Roman"/>
          <w:iCs/>
          <w:color w:val="auto"/>
          <w:sz w:val="28"/>
          <w:szCs w:val="28"/>
          <w:lang w:val="pl-PL" w:eastAsia="en-US"/>
        </w:rPr>
        <w:t xml:space="preserve">. Bộ đã khẩn trương nghiên cứu, tiếp thu, giải trình cụ thể tại Bảng tổng hợp tiếp thu, giải trình ý kiến của các bộ, ngành, địa phương. </w:t>
      </w:r>
    </w:p>
    <w:p>
      <w:pPr>
        <w:pStyle w:val="Normal"/>
        <w:widowControl/>
        <w:spacing w:lineRule="exact" w:line="340" w:before="120" w:after="120"/>
        <w:ind w:firstLine="709"/>
        <w:jc w:val="both"/>
        <w:rPr>
          <w:rFonts w:ascii="Times New Roman" w:hAnsi="Times New Roman" w:cs="Times New Roman"/>
          <w:iCs/>
          <w:color w:val="auto"/>
          <w:sz w:val="28"/>
          <w:szCs w:val="28"/>
          <w:lang w:val="pl-PL" w:eastAsia="en-US"/>
        </w:rPr>
      </w:pPr>
      <w:r>
        <w:rPr>
          <w:rFonts w:cs="Times New Roman" w:ascii="Times New Roman" w:hAnsi="Times New Roman"/>
          <w:iCs/>
          <w:color w:val="auto"/>
          <w:sz w:val="28"/>
          <w:szCs w:val="28"/>
          <w:lang w:val="pl-PL" w:eastAsia="en-US"/>
        </w:rPr>
        <w:t>6. Ngày 30/6/2026, Bộ Nông nghiệp và Môi trường đã có Công văn số 437/BNNMT-QLĐĐ gửi Bộ Tư pháp thẩm định hồ sơ đề xuất chính sách. Ngày 01/7/2026, Bộ Tư pháp đã tổ chức họp, thẩm định đối với đề xuất chính sách của dự án Luật Đất đai (sửa đổi). Trên cơ sở ý kiến thẩm định tại Báo cáo số 66/BCTĐ-BTP ngày 03/7/2026 của Bộ Tư pháp</w:t>
      </w:r>
      <w:r>
        <w:rPr>
          <w:rStyle w:val="FootnoteReference"/>
          <w:rFonts w:cs="Times New Roman" w:ascii="Times New Roman" w:hAnsi="Times New Roman"/>
          <w:iCs/>
          <w:color w:val="auto"/>
          <w:sz w:val="28"/>
          <w:szCs w:val="28"/>
          <w:lang w:val="pl-PL" w:eastAsia="en-US"/>
        </w:rPr>
        <w:footnoteReference w:id="14"/>
      </w:r>
      <w:r>
        <w:rPr>
          <w:rFonts w:cs="Times New Roman" w:ascii="Times New Roman" w:hAnsi="Times New Roman"/>
          <w:iCs/>
          <w:color w:val="auto"/>
          <w:sz w:val="28"/>
          <w:szCs w:val="28"/>
          <w:lang w:val="pl-PL" w:eastAsia="en-US"/>
        </w:rPr>
        <w:t xml:space="preserve">, </w:t>
      </w:r>
      <w:r>
        <w:rPr>
          <w:rFonts w:cs="Times New Roman" w:ascii="Times New Roman" w:hAnsi="Times New Roman"/>
          <w:iCs/>
          <w:color w:val="auto"/>
          <w:sz w:val="28"/>
          <w:szCs w:val="28"/>
          <w:lang w:eastAsia="en-US"/>
        </w:rPr>
        <w:t xml:space="preserve">và cập nhật </w:t>
      </w:r>
      <w:r>
        <w:rPr>
          <w:rFonts w:cs="Times New Roman" w:ascii="Times New Roman" w:hAnsi="Times New Roman"/>
          <w:iCs/>
          <w:color w:val="auto"/>
          <w:sz w:val="28"/>
          <w:szCs w:val="28"/>
          <w:lang w:val="pl-PL" w:eastAsia="en-US"/>
        </w:rPr>
        <w:t>quan điểm, định hướng sủa đổi Luật Đất đai tại</w:t>
      </w:r>
      <w:r>
        <w:rPr>
          <w:rFonts w:cs="Times New Roman" w:ascii="Times New Roman" w:hAnsi="Times New Roman"/>
          <w:iCs/>
          <w:color w:val="auto"/>
          <w:sz w:val="28"/>
          <w:szCs w:val="28"/>
          <w:lang w:eastAsia="en-US"/>
        </w:rPr>
        <w:t xml:space="preserve"> </w:t>
      </w:r>
      <w:r>
        <w:rPr>
          <w:rFonts w:cs="Times New Roman" w:ascii="Times New Roman" w:hAnsi="Times New Roman"/>
          <w:iCs/>
          <w:color w:val="auto"/>
          <w:sz w:val="28"/>
          <w:szCs w:val="28"/>
          <w:lang w:val="pl-PL" w:eastAsia="en-US"/>
        </w:rPr>
        <w:t xml:space="preserve">Đề án </w:t>
      </w:r>
      <w:r>
        <w:rPr>
          <w:rFonts w:cs="Times New Roman" w:ascii="Times New Roman" w:hAnsi="Times New Roman"/>
          <w:i/>
          <w:color w:val="auto"/>
          <w:sz w:val="28"/>
          <w:szCs w:val="28"/>
          <w:lang w:val="pl-PL" w:eastAsia="en-US"/>
        </w:rPr>
        <w:t>“Sơ kết Nghị quyết số 18-NQ/TW; quan điểm, định hướng sửa đổi Luật Đất đai”</w:t>
      </w:r>
      <w:r>
        <w:rPr>
          <w:rFonts w:cs="Times New Roman" w:ascii="Times New Roman" w:hAnsi="Times New Roman"/>
          <w:i/>
          <w:color w:val="auto"/>
          <w:sz w:val="28"/>
          <w:szCs w:val="28"/>
          <w:lang w:eastAsia="en-US"/>
        </w:rPr>
        <w:t xml:space="preserve"> (Hồ sơ đề</w:t>
      </w:r>
      <w:r>
        <w:rPr>
          <w:rFonts w:cs="Times New Roman" w:ascii="Times New Roman" w:hAnsi="Times New Roman"/>
          <w:i/>
          <w:color w:val="auto"/>
          <w:sz w:val="28"/>
          <w:szCs w:val="28"/>
          <w:lang w:val="pl-PL" w:eastAsia="en-US"/>
        </w:rPr>
        <w:t xml:space="preserve"> án này</w:t>
      </w:r>
      <w:r>
        <w:rPr>
          <w:rFonts w:cs="Times New Roman" w:ascii="Times New Roman" w:hAnsi="Times New Roman"/>
          <w:i/>
          <w:color w:val="auto"/>
          <w:sz w:val="28"/>
          <w:szCs w:val="28"/>
          <w:lang w:eastAsia="en-US"/>
        </w:rPr>
        <w:t xml:space="preserve"> đang được Đảng ủy Bộ Nông nghiệp và Môi trường trình Đảng ủy Chính phủ ngày </w:t>
      </w:r>
      <w:r>
        <w:rPr>
          <w:rFonts w:cs="Times New Roman" w:ascii="Times New Roman" w:hAnsi="Times New Roman"/>
          <w:i/>
          <w:color w:val="auto"/>
          <w:sz w:val="28"/>
          <w:szCs w:val="28"/>
          <w:lang w:val="pl-PL" w:eastAsia="en-US"/>
        </w:rPr>
        <w:t>6</w:t>
      </w:r>
      <w:r>
        <w:rPr>
          <w:rFonts w:cs="Times New Roman" w:ascii="Times New Roman" w:hAnsi="Times New Roman"/>
          <w:i/>
          <w:color w:val="auto"/>
          <w:sz w:val="28"/>
          <w:szCs w:val="28"/>
          <w:lang w:eastAsia="en-US"/>
        </w:rPr>
        <w:t>/7/2026</w:t>
      </w:r>
      <w:r>
        <w:rPr>
          <w:rFonts w:cs="Times New Roman" w:ascii="Times New Roman" w:hAnsi="Times New Roman"/>
          <w:i/>
          <w:color w:val="auto"/>
          <w:sz w:val="28"/>
          <w:szCs w:val="28"/>
        </w:rPr>
        <w:t>)</w:t>
      </w:r>
      <w:r>
        <w:rPr>
          <w:rFonts w:cs="Times New Roman" w:ascii="Times New Roman" w:hAnsi="Times New Roman"/>
          <w:color w:val="auto"/>
          <w:sz w:val="28"/>
          <w:szCs w:val="28"/>
        </w:rPr>
        <w:t xml:space="preserve">, </w:t>
      </w:r>
      <w:r>
        <w:rPr>
          <w:rFonts w:cs="Times New Roman" w:ascii="Times New Roman" w:hAnsi="Times New Roman"/>
          <w:iCs/>
          <w:color w:val="auto"/>
          <w:sz w:val="28"/>
          <w:szCs w:val="28"/>
          <w:lang w:val="pl-PL" w:eastAsia="en-US"/>
        </w:rPr>
        <w:t>Bộ Nông nghiệp và Môi trường đã nghiên cứu, tiếp thu, giải trình cụ thể tại Báo cáo số 459/BC-BNNMT, đồng thời hoàn thiện nội dung, hồ sơ chính sách của dự án Luật Đất đai (sửa đổi), trình Chính phủ tại Tờ trình số 458/TTr-BNNMT ngày 06/7/2026.</w:t>
      </w:r>
    </w:p>
    <w:p>
      <w:pPr>
        <w:pStyle w:val="Normal"/>
        <w:widowControl/>
        <w:spacing w:lineRule="exact" w:line="340" w:before="120" w:after="120"/>
        <w:ind w:firstLine="709"/>
        <w:jc w:val="both"/>
        <w:rPr>
          <w:rFonts w:ascii="Times New Roman" w:hAnsi="Times New Roman" w:cs="Times New Roman"/>
          <w:iCs/>
          <w:color w:val="auto"/>
          <w:sz w:val="28"/>
          <w:szCs w:val="28"/>
          <w:lang w:val="pl-PL" w:eastAsia="en-US"/>
        </w:rPr>
      </w:pPr>
      <w:r>
        <w:rPr>
          <w:rFonts w:cs="Times New Roman" w:ascii="Times New Roman" w:hAnsi="Times New Roman"/>
          <w:iCs/>
          <w:color w:val="auto"/>
          <w:sz w:val="28"/>
          <w:szCs w:val="28"/>
          <w:lang w:val="pl-PL" w:eastAsia="en-US"/>
        </w:rPr>
        <w:t>7. Ngày 13/7/2026, Bộ Nông nghiệp và Môi trường nhận được Công văn số 71/BTP-PLDSKT ngày 09/7/2026 của Bộ Tư pháp về nội dung giải trình, tiếp thu ý kiến thẩm định đề xuất chính sách của dự án Luật Đất đai (sửa đổi). Tại Công văn này, Bộ Tư pháp đã nêu “…</w:t>
      </w:r>
      <w:r>
        <w:rPr>
          <w:rFonts w:cs="Times New Roman" w:ascii="Times New Roman" w:hAnsi="Times New Roman"/>
          <w:i/>
          <w:iCs/>
          <w:color w:val="auto"/>
          <w:sz w:val="28"/>
          <w:szCs w:val="28"/>
          <w:lang w:val="pl-PL" w:eastAsia="en-US"/>
        </w:rPr>
        <w:t>nội dung thẩm định của Bộ Tư pháp cơ bản đã được tiếp thu, giải trình đầy đủ… Trên cơ sở tiếp thu, giải trình ý kiến tại văn bản này và Báo cáo thẩm định số 66/BCTĐ-BTP, sau khi hoàn thiện hồ sơ chính sách…, Bộ Tư pháp thống nhất việc cơ quan chủ trì soạn thảo trình Chính phủ xem xét, quyết định</w:t>
      </w:r>
      <w:r>
        <w:rPr>
          <w:rFonts w:cs="Times New Roman" w:ascii="Times New Roman" w:hAnsi="Times New Roman"/>
          <w:iCs/>
          <w:color w:val="auto"/>
          <w:sz w:val="28"/>
          <w:szCs w:val="28"/>
          <w:lang w:val="pl-PL" w:eastAsia="en-US"/>
        </w:rPr>
        <w:t xml:space="preserve">”. Trên cơ sở ý kiến của Bộ Tư pháp tại Công văn số 71/BTP-PLDSKT và cập nhật chính sách trong hồ sơ đề án </w:t>
      </w:r>
      <w:r>
        <w:rPr>
          <w:rFonts w:cs="Times New Roman" w:ascii="Times New Roman" w:hAnsi="Times New Roman"/>
          <w:i/>
          <w:color w:val="auto"/>
          <w:sz w:val="28"/>
          <w:szCs w:val="28"/>
          <w:lang w:val="pl-PL" w:eastAsia="en-US"/>
        </w:rPr>
        <w:t>“Sơ kết Nghị quyết số 18-NQ/TW; quan điểm, định hướng sửa đổi Luật Đất đai và các luật có liên quan”</w:t>
      </w:r>
      <w:r>
        <w:rPr>
          <w:rFonts w:cs="Times New Roman" w:ascii="Times New Roman" w:hAnsi="Times New Roman"/>
          <w:iCs/>
          <w:color w:val="auto"/>
          <w:sz w:val="28"/>
          <w:szCs w:val="28"/>
          <w:lang w:val="pl-PL" w:eastAsia="en-US"/>
        </w:rPr>
        <w:t xml:space="preserve"> đang trình Đảng ủy Chính phủ ngày 14/7/2026 xem xét để trình Ban Chấp hành Trung ương Đảng. Ngày 15/7/2026, Bộ Nông nghiệp và Môi trường đã trình Chính phủ tại Tờ trình số 7809/TTr-BNNMT chính sách của dự án Luật Đất đai (sửa đổi).</w:t>
      </w:r>
    </w:p>
    <w:p>
      <w:pPr>
        <w:pStyle w:val="Normal"/>
        <w:widowControl/>
        <w:spacing w:lineRule="exact" w:line="340" w:before="120" w:after="120"/>
        <w:ind w:firstLine="709"/>
        <w:jc w:val="both"/>
        <w:rPr>
          <w:rFonts w:ascii="Times New Roman" w:hAnsi="Times New Roman" w:cs="Times New Roman"/>
          <w:iCs/>
          <w:color w:val="auto"/>
          <w:sz w:val="28"/>
          <w:szCs w:val="28"/>
          <w:lang w:val="pl-PL" w:eastAsia="en-US"/>
        </w:rPr>
      </w:pPr>
      <w:r>
        <w:rPr>
          <w:rFonts w:cs="Times New Roman" w:ascii="Times New Roman" w:hAnsi="Times New Roman"/>
          <w:iCs/>
          <w:color w:val="auto"/>
          <w:sz w:val="28"/>
          <w:szCs w:val="28"/>
          <w:lang w:val="pl-PL" w:eastAsia="en-US"/>
        </w:rPr>
        <w:t>8. Ngày 18/7/2026, Chính phủ thông qua chính sách của dự án Luật Đất đai (sửa đổi) tại Nghị quyết số 189/NQ-CP.</w:t>
      </w:r>
    </w:p>
    <w:p>
      <w:pPr>
        <w:pStyle w:val="Normal"/>
        <w:widowControl/>
        <w:spacing w:lineRule="exact" w:line="340" w:before="120" w:after="120"/>
        <w:ind w:firstLine="709"/>
        <w:jc w:val="both"/>
        <w:rPr>
          <w:rFonts w:ascii="Times New Roman" w:hAnsi="Times New Roman" w:cs="Times New Roman"/>
          <w:iCs/>
          <w:color w:val="auto"/>
          <w:sz w:val="28"/>
          <w:szCs w:val="28"/>
          <w:lang w:val="pl-PL" w:eastAsia="en-US"/>
        </w:rPr>
      </w:pPr>
      <w:r>
        <w:rPr>
          <w:rFonts w:cs="Times New Roman" w:ascii="Times New Roman" w:hAnsi="Times New Roman"/>
          <w:iCs/>
          <w:color w:val="auto"/>
          <w:sz w:val="28"/>
          <w:szCs w:val="28"/>
          <w:lang w:val="pl-PL" w:eastAsia="en-US"/>
        </w:rPr>
        <w:t>9. Ngày 22/7/2026, Chính phủ đã trình Quốc hội định hướng chính sách của dự án Luật Đất đai (sửa đổi) tại Tờ trình số 419/TTr-CP.</w:t>
      </w:r>
    </w:p>
    <w:p>
      <w:pPr>
        <w:pStyle w:val="Normal"/>
        <w:widowControl/>
        <w:spacing w:lineRule="exact" w:line="340" w:before="120" w:after="120"/>
        <w:ind w:firstLine="709"/>
        <w:jc w:val="both"/>
        <w:rPr>
          <w:rFonts w:ascii="Times New Roman" w:hAnsi="Times New Roman" w:cs="Times New Roman"/>
          <w:iCs/>
          <w:color w:val="auto"/>
          <w:sz w:val="28"/>
          <w:szCs w:val="28"/>
          <w:lang w:eastAsia="en-US"/>
        </w:rPr>
      </w:pPr>
      <w:r>
        <w:rPr>
          <w:rFonts w:cs="Times New Roman" w:ascii="Times New Roman" w:hAnsi="Times New Roman"/>
          <w:iCs/>
          <w:color w:val="auto"/>
          <w:sz w:val="28"/>
          <w:szCs w:val="28"/>
          <w:lang w:val="pl-PL" w:eastAsia="en-US"/>
        </w:rPr>
        <w:t>10. Ngày 28/7/2026, tại Hội nghị lần thứ ba, Ban Chấp hành Trung ương đã thông qua Nghị quyết số 21-NQ/TW về quan điểm, định hướng sửa đổi Luật Đất đai và các luật có liên quan.</w:t>
      </w:r>
      <w:r>
        <w:rPr>
          <w:rFonts w:cs="Times New Roman" w:ascii="Times New Roman" w:hAnsi="Times New Roman"/>
          <w:iCs/>
          <w:color w:val="auto"/>
          <w:sz w:val="28"/>
          <w:szCs w:val="28"/>
          <w:lang w:eastAsia="en-US"/>
        </w:rPr>
        <w:t xml:space="preserve"> Hiện nay, </w:t>
      </w:r>
      <w:r>
        <w:rPr>
          <w:rFonts w:cs="Times New Roman" w:ascii="Times New Roman" w:hAnsi="Times New Roman"/>
          <w:iCs/>
          <w:color w:val="auto"/>
          <w:sz w:val="28"/>
          <w:szCs w:val="28"/>
          <w:lang w:val="pl-PL" w:eastAsia="en-US"/>
        </w:rPr>
        <w:t>Đảng ủy Chính phủ đang chỉ đạo xây dựng kế hoạch thực hiện Nghị quyết số 21-NQ/TW, Đảng ủy Bộ Tư pháp đã có ý kiến về dự thảo kế hoạch thực hiện Nghị quyết số 21-NQ/TW (Công văn số 1012-CV/ĐU ngày 31/7/2026)</w:t>
      </w:r>
      <w:r>
        <w:rPr>
          <w:rStyle w:val="FootnoteReference"/>
          <w:rFonts w:cs="Times New Roman" w:ascii="Times New Roman" w:hAnsi="Times New Roman"/>
          <w:iCs/>
          <w:color w:val="auto"/>
          <w:sz w:val="28"/>
          <w:szCs w:val="28"/>
          <w:lang w:val="pl-PL" w:eastAsia="en-US"/>
        </w:rPr>
        <w:footnoteReference w:id="15"/>
      </w:r>
      <w:r>
        <w:rPr>
          <w:rFonts w:cs="Times New Roman" w:ascii="Times New Roman" w:hAnsi="Times New Roman"/>
          <w:iCs/>
          <w:color w:val="auto"/>
          <w:sz w:val="28"/>
          <w:szCs w:val="28"/>
          <w:lang w:val="pl-PL" w:eastAsia="en-US"/>
        </w:rPr>
        <w:t xml:space="preserve">. </w:t>
      </w:r>
    </w:p>
    <w:p>
      <w:pPr>
        <w:pStyle w:val="Normal"/>
        <w:widowControl/>
        <w:spacing w:lineRule="exact" w:line="340" w:before="120" w:after="120"/>
        <w:ind w:firstLine="709"/>
        <w:jc w:val="both"/>
        <w:rPr>
          <w:rFonts w:ascii="Times New Roman" w:hAnsi="Times New Roman" w:cs="Times New Roman"/>
          <w:iCs/>
          <w:color w:val="auto"/>
          <w:sz w:val="28"/>
          <w:szCs w:val="28"/>
          <w:lang w:val="pl-PL" w:eastAsia="en-US"/>
        </w:rPr>
      </w:pPr>
      <w:r>
        <w:rPr>
          <w:rFonts w:cs="Times New Roman" w:ascii="Times New Roman" w:hAnsi="Times New Roman"/>
          <w:iCs/>
          <w:color w:val="auto"/>
          <w:sz w:val="28"/>
          <w:szCs w:val="28"/>
          <w:lang w:val="pl-PL" w:eastAsia="en-US"/>
        </w:rPr>
        <w:t>11. Trên cơ sở quan điểm, mục tiêu, nhiệm vụ, giải pháp tại Nghị quyết số 21-NQ/TW,</w:t>
      </w:r>
      <w:r>
        <w:rPr>
          <w:rFonts w:cs="Times New Roman" w:ascii="Times New Roman" w:hAnsi="Times New Roman"/>
          <w:iCs/>
          <w:color w:val="auto"/>
          <w:sz w:val="28"/>
          <w:szCs w:val="28"/>
          <w:lang w:eastAsia="en-US"/>
        </w:rPr>
        <w:t xml:space="preserve"> yêu cầu của </w:t>
      </w:r>
      <w:r>
        <w:rPr>
          <w:rFonts w:cs="Times New Roman" w:ascii="Times New Roman" w:hAnsi="Times New Roman"/>
          <w:iCs/>
          <w:color w:val="auto"/>
          <w:sz w:val="28"/>
          <w:szCs w:val="28"/>
          <w:lang w:val="pl-PL" w:eastAsia="en-US"/>
        </w:rPr>
        <w:t>Ủy ban Thường vụ Quốc hội ban hành Kết luận số 98/KL-UBTVQH16</w:t>
      </w:r>
      <w:r>
        <w:rPr>
          <w:rFonts w:cs="Times New Roman" w:ascii="Times New Roman" w:hAnsi="Times New Roman"/>
          <w:iCs/>
          <w:color w:val="auto"/>
          <w:sz w:val="28"/>
          <w:szCs w:val="28"/>
          <w:lang w:eastAsia="en-US"/>
        </w:rPr>
        <w:t xml:space="preserve"> </w:t>
      </w:r>
      <w:r>
        <w:rPr>
          <w:rFonts w:cs="Times New Roman" w:ascii="Times New Roman" w:hAnsi="Times New Roman"/>
          <w:iCs/>
          <w:color w:val="auto"/>
          <w:sz w:val="28"/>
          <w:szCs w:val="28"/>
          <w:lang w:val="pl-PL" w:eastAsia="en-US"/>
        </w:rPr>
        <w:t>ngày 10/7/2026, trong đó có yêu cầu sau khi Ban chấp hành Trung ương Đảng cho ý kiến thì “khẩn trương tiếp thu, hoàn thiện hồ sơ tài liệu” gửi UBTVQH xem xét cho ý kiến, gửi Đại biểu QH trước khi khai mạc Kỳ họp. Do vậy, trên c</w:t>
      </w:r>
      <w:r>
        <w:rPr>
          <w:rFonts w:cs="Times New Roman" w:hint="eastAsia" w:ascii="Times New Roman" w:hAnsi="Times New Roman"/>
          <w:iCs/>
          <w:color w:val="auto"/>
          <w:sz w:val="28"/>
          <w:szCs w:val="28"/>
          <w:lang w:val="pl-PL" w:eastAsia="en-US"/>
        </w:rPr>
        <w:t>ơ</w:t>
      </w:r>
      <w:r>
        <w:rPr>
          <w:rFonts w:cs="Times New Roman" w:ascii="Times New Roman" w:hAnsi="Times New Roman"/>
          <w:iCs/>
          <w:color w:val="auto"/>
          <w:sz w:val="28"/>
          <w:szCs w:val="28"/>
          <w:lang w:val="pl-PL" w:eastAsia="en-US"/>
        </w:rPr>
        <w:t xml:space="preserve"> sở quan </w:t>
      </w:r>
      <w:r>
        <w:rPr>
          <w:rFonts w:cs="Times New Roman" w:hint="eastAsia" w:ascii="Times New Roman" w:hAnsi="Times New Roman"/>
          <w:iCs/>
          <w:color w:val="auto"/>
          <w:sz w:val="28"/>
          <w:szCs w:val="28"/>
          <w:lang w:val="pl-PL" w:eastAsia="en-US"/>
        </w:rPr>
        <w:t>đ</w:t>
      </w:r>
      <w:r>
        <w:rPr>
          <w:rFonts w:cs="Times New Roman" w:ascii="Times New Roman" w:hAnsi="Times New Roman"/>
          <w:iCs/>
          <w:color w:val="auto"/>
          <w:sz w:val="28"/>
          <w:szCs w:val="28"/>
          <w:lang w:val="pl-PL" w:eastAsia="en-US"/>
        </w:rPr>
        <w:t>iểm, mục tiêu, nhiệm vụ, giải pháp tại Nghị Nghị quyết số 21-NQ/TW, Bộ Nông nghiệp và Môi tr</w:t>
      </w:r>
      <w:r>
        <w:rPr>
          <w:rFonts w:cs="Times New Roman" w:hint="eastAsia" w:ascii="Times New Roman" w:hAnsi="Times New Roman"/>
          <w:iCs/>
          <w:color w:val="auto"/>
          <w:sz w:val="28"/>
          <w:szCs w:val="28"/>
          <w:lang w:val="pl-PL" w:eastAsia="en-US"/>
        </w:rPr>
        <w:t>ư</w:t>
      </w:r>
      <w:r>
        <w:rPr>
          <w:rFonts w:cs="Times New Roman" w:ascii="Times New Roman" w:hAnsi="Times New Roman"/>
          <w:iCs/>
          <w:color w:val="auto"/>
          <w:sz w:val="28"/>
          <w:szCs w:val="28"/>
          <w:lang w:val="pl-PL" w:eastAsia="en-US"/>
        </w:rPr>
        <w:t xml:space="preserve">ờng </w:t>
      </w:r>
      <w:r>
        <w:rPr>
          <w:rFonts w:cs="Times New Roman" w:hint="eastAsia" w:ascii="Times New Roman" w:hAnsi="Times New Roman"/>
          <w:iCs/>
          <w:color w:val="auto"/>
          <w:sz w:val="28"/>
          <w:szCs w:val="28"/>
          <w:lang w:val="pl-PL" w:eastAsia="en-US"/>
        </w:rPr>
        <w:t>đã</w:t>
      </w:r>
      <w:r>
        <w:rPr>
          <w:rFonts w:cs="Times New Roman" w:ascii="Times New Roman" w:hAnsi="Times New Roman"/>
          <w:iCs/>
          <w:color w:val="auto"/>
          <w:sz w:val="28"/>
          <w:szCs w:val="28"/>
          <w:lang w:val="pl-PL" w:eastAsia="en-US"/>
        </w:rPr>
        <w:t xml:space="preserve"> rà soát, cập nhật và hoàn thiện 07 chính sách </w:t>
      </w:r>
      <w:r>
        <w:rPr>
          <w:rFonts w:cs="Times New Roman" w:hint="eastAsia" w:ascii="Times New Roman" w:hAnsi="Times New Roman"/>
          <w:iCs/>
          <w:color w:val="auto"/>
          <w:sz w:val="28"/>
          <w:szCs w:val="28"/>
          <w:lang w:val="pl-PL" w:eastAsia="en-US"/>
        </w:rPr>
        <w:t>đã</w:t>
      </w:r>
      <w:r>
        <w:rPr>
          <w:rFonts w:cs="Times New Roman" w:ascii="Times New Roman" w:hAnsi="Times New Roman"/>
          <w:iCs/>
          <w:color w:val="auto"/>
          <w:sz w:val="28"/>
          <w:szCs w:val="28"/>
          <w:lang w:val="pl-PL" w:eastAsia="en-US"/>
        </w:rPr>
        <w:t xml:space="preserve"> </w:t>
      </w:r>
      <w:r>
        <w:rPr>
          <w:rFonts w:cs="Times New Roman" w:hint="eastAsia" w:ascii="Times New Roman" w:hAnsi="Times New Roman"/>
          <w:iCs/>
          <w:color w:val="auto"/>
          <w:sz w:val="28"/>
          <w:szCs w:val="28"/>
          <w:lang w:val="pl-PL" w:eastAsia="en-US"/>
        </w:rPr>
        <w:t>đư</w:t>
      </w:r>
      <w:r>
        <w:rPr>
          <w:rFonts w:cs="Times New Roman" w:ascii="Times New Roman" w:hAnsi="Times New Roman"/>
          <w:iCs/>
          <w:color w:val="auto"/>
          <w:sz w:val="28"/>
          <w:szCs w:val="28"/>
          <w:lang w:val="pl-PL" w:eastAsia="en-US"/>
        </w:rPr>
        <w:t>ợc Chính phủ thông qua tại Nghị quyết số 189/NQ-CP.</w:t>
      </w:r>
    </w:p>
    <w:p>
      <w:pPr>
        <w:pStyle w:val="Normal"/>
        <w:widowControl/>
        <w:spacing w:lineRule="exact" w:line="340" w:before="120" w:after="120"/>
        <w:ind w:firstLine="709"/>
        <w:jc w:val="both"/>
        <w:rPr>
          <w:rFonts w:ascii="Times New Roman" w:hAnsi="Times New Roman" w:cs="Times New Roman"/>
          <w:color w:val="auto"/>
          <w:sz w:val="28"/>
          <w:szCs w:val="28"/>
          <w:lang w:val="pl-PL"/>
        </w:rPr>
      </w:pPr>
      <w:bookmarkStart w:id="3" w:name="_Hlk234160404"/>
      <w:r>
        <w:rPr>
          <w:rFonts w:cs="Times New Roman" w:ascii="Times New Roman" w:hAnsi="Times New Roman"/>
          <w:iCs/>
          <w:color w:val="auto"/>
          <w:sz w:val="28"/>
          <w:szCs w:val="28"/>
          <w:lang w:val="pl-PL" w:eastAsia="en-US"/>
        </w:rPr>
        <w:t>Đồng thời, Bộ Nông nghiệp và Môi trường đã xây dựng bước</w:t>
      </w:r>
      <w:r>
        <w:rPr>
          <w:rFonts w:cs="Times New Roman" w:ascii="Times New Roman" w:hAnsi="Times New Roman"/>
          <w:iCs/>
          <w:color w:val="auto"/>
          <w:sz w:val="28"/>
          <w:szCs w:val="28"/>
          <w:lang w:eastAsia="en-US"/>
        </w:rPr>
        <w:t xml:space="preserve"> đầu </w:t>
      </w:r>
      <w:r>
        <w:rPr>
          <w:rFonts w:cs="Times New Roman" w:ascii="Times New Roman" w:hAnsi="Times New Roman"/>
          <w:iCs/>
          <w:color w:val="auto"/>
          <w:sz w:val="28"/>
          <w:szCs w:val="28"/>
          <w:lang w:val="pl-PL" w:eastAsia="en-US"/>
        </w:rPr>
        <w:t>dự thảo Luật Đất đai (sửa đổi)</w:t>
      </w:r>
      <w:r>
        <w:rPr>
          <w:rFonts w:cs="Times New Roman" w:ascii="Times New Roman" w:hAnsi="Times New Roman"/>
          <w:iCs/>
          <w:color w:val="auto"/>
          <w:sz w:val="28"/>
          <w:szCs w:val="28"/>
          <w:lang w:eastAsia="en-US"/>
        </w:rPr>
        <w:t xml:space="preserve"> quy định chi tiết 07 nhóm chính sách</w:t>
      </w:r>
      <w:r>
        <w:rPr>
          <w:rFonts w:cs="Times New Roman" w:ascii="Times New Roman" w:hAnsi="Times New Roman"/>
          <w:iCs/>
          <w:color w:val="auto"/>
          <w:sz w:val="28"/>
          <w:szCs w:val="28"/>
          <w:lang w:val="pl-PL" w:eastAsia="en-US"/>
        </w:rPr>
        <w:t>. Dự thảo Luật được thiết kế theo tinh thần của Nghị quyết số 66-NQ/TW và Kết luận số 09-KL/TW, chỉ quy định những những vấn đề khung, những vấn đề có tính nguyên tắc; các vấn đề thường xuyên biến động thì giao Chính phủ, bộ, ngành và địa phương quy định nhằm bảo đảm tính linh hoạt, phù hợp với thực tiễn.</w:t>
      </w:r>
      <w:bookmarkEnd w:id="3"/>
    </w:p>
    <w:p>
      <w:pPr>
        <w:pStyle w:val="Normal"/>
        <w:numPr>
          <w:ilvl w:val="0"/>
          <w:numId w:val="0"/>
        </w:numPr>
        <w:spacing w:lineRule="exact" w:line="340" w:before="120" w:after="120"/>
        <w:ind w:firstLine="709"/>
        <w:jc w:val="both"/>
        <w:outlineLvl w:val="0"/>
        <w:rPr>
          <w:rFonts w:ascii="Times New Roman" w:hAnsi="Times New Roman" w:cs="Times New Roman"/>
          <w:b/>
          <w:bCs/>
          <w:color w:val="auto"/>
          <w:spacing w:val="-8"/>
          <w:sz w:val="28"/>
          <w:szCs w:val="28"/>
          <w:lang w:val="pl-PL"/>
        </w:rPr>
      </w:pPr>
      <w:r>
        <w:rPr>
          <w:rFonts w:cs="Times New Roman" w:ascii="Times New Roman" w:hAnsi="Times New Roman"/>
          <w:b/>
          <w:bCs/>
          <w:color w:val="auto"/>
          <w:spacing w:val="-8"/>
          <w:sz w:val="28"/>
          <w:szCs w:val="28"/>
          <w:lang w:val="pl-PL"/>
        </w:rPr>
        <w:t>V. MỤC TIÊU, NỘI DUNG CỦA CHÍNH SÁCH</w:t>
      </w:r>
    </w:p>
    <w:p>
      <w:pPr>
        <w:pStyle w:val="Normal"/>
        <w:numPr>
          <w:ilvl w:val="0"/>
          <w:numId w:val="0"/>
        </w:numPr>
        <w:spacing w:lineRule="exact" w:line="340" w:before="120" w:after="120"/>
        <w:ind w:firstLine="709"/>
        <w:jc w:val="both"/>
        <w:outlineLvl w:val="0"/>
        <w:rPr>
          <w:rFonts w:ascii="Times New Roman" w:hAnsi="Times New Roman" w:eastAsia="等线 Light" w:cs="Times New Roman" w:eastAsiaTheme="majorEastAsia"/>
          <w:b/>
          <w:bCs/>
          <w:i/>
          <w:color w:val="auto"/>
          <w:sz w:val="28"/>
          <w:szCs w:val="28"/>
        </w:rPr>
      </w:pPr>
      <w:r>
        <w:rPr>
          <w:rFonts w:eastAsia="等线 Light" w:cs="Times New Roman" w:ascii="Times New Roman" w:hAnsi="Times New Roman" w:eastAsiaTheme="majorEastAsia"/>
          <w:b/>
          <w:bCs/>
          <w:i/>
          <w:color w:val="auto"/>
          <w:sz w:val="28"/>
          <w:szCs w:val="28"/>
        </w:rPr>
        <w:t>1</w:t>
      </w:r>
      <w:bookmarkStart w:id="4" w:name="_Hlk233619725"/>
      <w:r>
        <w:rPr>
          <w:rFonts w:eastAsia="等线 Light" w:cs="Times New Roman" w:ascii="Times New Roman" w:hAnsi="Times New Roman" w:eastAsiaTheme="majorEastAsia"/>
          <w:b/>
          <w:bCs/>
          <w:i/>
          <w:color w:val="auto"/>
          <w:sz w:val="28"/>
          <w:szCs w:val="28"/>
        </w:rPr>
        <w:t>. Chính sách 1: Đổi mới và nâng cao chất lượng quy hoạch, kế hoạch sử dụng đất</w:t>
      </w:r>
    </w:p>
    <w:p>
      <w:pPr>
        <w:pStyle w:val="Normal"/>
        <w:numPr>
          <w:ilvl w:val="0"/>
          <w:numId w:val="0"/>
        </w:numPr>
        <w:spacing w:lineRule="exact" w:line="340" w:before="120" w:after="120"/>
        <w:ind w:firstLine="709"/>
        <w:jc w:val="both"/>
        <w:outlineLvl w:val="0"/>
        <w:rPr>
          <w:rFonts w:ascii="Times New Roman" w:hAnsi="Times New Roman" w:eastAsia="等线 Light" w:cs="Times New Roman" w:eastAsiaTheme="majorEastAsia"/>
          <w:i/>
          <w:iCs/>
          <w:color w:val="auto"/>
          <w:sz w:val="28"/>
          <w:szCs w:val="28"/>
          <w:lang w:eastAsia="en-US"/>
        </w:rPr>
      </w:pPr>
      <w:r>
        <w:rPr>
          <w:rFonts w:eastAsia="等线 Light" w:cs="Times New Roman" w:ascii="Times New Roman" w:hAnsi="Times New Roman" w:eastAsiaTheme="majorEastAsia"/>
          <w:i/>
          <w:iCs/>
          <w:color w:val="auto"/>
          <w:sz w:val="28"/>
          <w:szCs w:val="28"/>
          <w:lang w:eastAsia="en-US"/>
        </w:rPr>
        <w:t>a) Mục tiêu của chính sách:</w:t>
      </w:r>
    </w:p>
    <w:p>
      <w:pPr>
        <w:pStyle w:val="Normal"/>
        <w:widowControl/>
        <w:spacing w:lineRule="exact" w:line="340" w:before="120" w:after="120"/>
        <w:ind w:firstLine="709"/>
        <w:jc w:val="both"/>
        <w:rPr>
          <w:rFonts w:ascii="Times New Roman" w:hAnsi="Times New Roman" w:cs="Times New Roman"/>
          <w:bCs/>
          <w:color w:val="auto"/>
          <w:sz w:val="28"/>
          <w:szCs w:val="28"/>
          <w:lang w:eastAsia="en-US"/>
        </w:rPr>
      </w:pPr>
      <w:r>
        <w:rPr>
          <w:rFonts w:cs="Times New Roman" w:ascii="Times New Roman" w:hAnsi="Times New Roman"/>
          <w:bCs/>
          <w:color w:val="auto"/>
          <w:sz w:val="28"/>
          <w:szCs w:val="28"/>
          <w:lang w:eastAsia="en-US"/>
        </w:rPr>
        <w:t>Đổi mới tư duy, phương pháp và nội dung quy hoạch, kế hoạch sử dụng đất theo hướng quản lý, phân bổ và tổ chức không gian sử dụng đất thống nhất, đồng bộ với hệ thống quy hoạch quốc gia, quy hoạch vùng, quy hoạch tỉnh, quy hoạch đô thị và nông thôn, quy hoạch ngành có sử dụng đất; bảo đảm sử dụng đất tiết kiệm, hiệu quả, bền vững, đáp ứng yêu cầu phát triển kinh tế - xã hội, quốc phòng, an ninh, bảo vệ môi trường và thích ứng với biến đổi khí hậu.</w:t>
      </w:r>
    </w:p>
    <w:p>
      <w:pPr>
        <w:pStyle w:val="Normal"/>
        <w:widowControl/>
        <w:spacing w:lineRule="exact" w:line="340" w:before="120" w:after="120"/>
        <w:ind w:firstLine="709"/>
        <w:jc w:val="both"/>
        <w:rPr>
          <w:rFonts w:ascii="Times New Roman" w:hAnsi="Times New Roman" w:cs="Times New Roman"/>
          <w:bCs/>
          <w:color w:val="auto"/>
          <w:sz w:val="28"/>
          <w:szCs w:val="28"/>
          <w:lang w:eastAsia="en-US"/>
        </w:rPr>
      </w:pPr>
      <w:r>
        <w:rPr>
          <w:rFonts w:cs="Times New Roman" w:ascii="Times New Roman" w:hAnsi="Times New Roman"/>
          <w:bCs/>
          <w:color w:val="auto"/>
          <w:sz w:val="28"/>
          <w:szCs w:val="28"/>
          <w:lang w:eastAsia="en-US"/>
        </w:rPr>
        <w:t>Quy hoạch, kế hoạch sử dụng đất phải có tính ổn định, công khai, minh bạch để tạo niềm tin cho người dân, doanh nghiệp và nhà đầu tư, đồng thời có mức độ chi tiết phù hợp, đủ linh hoạt để đáp ứng yêu cầu phát triển trong từng thời kỳ.</w:t>
      </w:r>
    </w:p>
    <w:p>
      <w:pPr>
        <w:pStyle w:val="Heading3"/>
        <w:spacing w:lineRule="exact" w:line="340" w:before="120" w:after="120"/>
        <w:ind w:firstLine="709"/>
        <w:rPr>
          <w:rFonts w:ascii="Times New Roman" w:hAnsi="Times New Roman" w:cs="Times New Roman"/>
          <w:i/>
          <w:iCs/>
          <w:color w:val="auto"/>
          <w:sz w:val="28"/>
          <w:lang w:eastAsia="en-US"/>
        </w:rPr>
      </w:pPr>
      <w:r>
        <w:rPr>
          <w:rFonts w:cs="Times New Roman" w:ascii="Times New Roman" w:hAnsi="Times New Roman"/>
          <w:i/>
          <w:iCs/>
          <w:color w:val="auto"/>
          <w:sz w:val="28"/>
          <w:lang w:eastAsia="en-US"/>
        </w:rPr>
        <w:t xml:space="preserve">b) Nội dung của chính sách: </w:t>
      </w:r>
    </w:p>
    <w:p>
      <w:pPr>
        <w:pStyle w:val="Normal"/>
        <w:widowControl/>
        <w:spacing w:lineRule="exact" w:line="340" w:before="120" w:after="120"/>
        <w:ind w:firstLine="709"/>
        <w:jc w:val="both"/>
        <w:rPr>
          <w:rFonts w:ascii="Times New Roman" w:hAnsi="Times New Roman" w:cs="Times New Roman"/>
          <w:bCs/>
          <w:color w:val="auto"/>
          <w:sz w:val="28"/>
          <w:szCs w:val="28"/>
          <w:lang w:eastAsia="en-US"/>
        </w:rPr>
      </w:pPr>
      <w:r>
        <w:rPr>
          <w:rFonts w:cs="Times New Roman" w:ascii="Times New Roman" w:hAnsi="Times New Roman"/>
          <w:bCs/>
          <w:color w:val="auto"/>
          <w:sz w:val="28"/>
          <w:szCs w:val="28"/>
          <w:lang w:eastAsia="en-US"/>
        </w:rPr>
        <w:t>- Đổi mới phương thức lập quy hoạch, kế hoạch sử dụng đất theo hướng kết hợp giữa phân bổ chỉ tiêu sử dụng đất với tổ chức không gian phát triển, phân vùng sử dụng đất và khoanh định các khu vực cần bảo vệ; xác định chức năng sử dụng đất của từng khu vực, khắc phục tình trạng chia cắt, chồng chéo, mâu thuẫn giữa các quy hoạch và nâng cao hiệu quả sử dụng đất.</w:t>
      </w:r>
    </w:p>
    <w:p>
      <w:pPr>
        <w:pStyle w:val="Normal"/>
        <w:widowControl/>
        <w:spacing w:lineRule="exact" w:line="340" w:before="120" w:after="120"/>
        <w:ind w:firstLine="709"/>
        <w:jc w:val="both"/>
        <w:rPr>
          <w:rFonts w:ascii="Times New Roman" w:hAnsi="Times New Roman" w:cs="Times New Roman"/>
          <w:bCs/>
          <w:color w:val="auto"/>
          <w:sz w:val="28"/>
          <w:szCs w:val="28"/>
          <w:lang w:eastAsia="en-US"/>
        </w:rPr>
      </w:pPr>
      <w:r>
        <w:rPr>
          <w:rFonts w:cs="Times New Roman" w:ascii="Times New Roman" w:hAnsi="Times New Roman"/>
          <w:bCs/>
          <w:color w:val="auto"/>
          <w:sz w:val="28"/>
          <w:szCs w:val="28"/>
          <w:lang w:eastAsia="en-US"/>
        </w:rPr>
        <w:t>- Sắp xếp hệ thống quy hoạch, kế hoạch sử dụng đất phù hợp với mô hình tổ chức chính quyền địa phương 02 cấp theo hướng tinh gọn, giảm số lượng quy hoạch, gồm quy hoạch sử dụng đất quốc gia, kế hoạch sử dụng đất cấp tỉnh, kế hoạch sử dụng đất cấp xã và quy hoạch sử dụng đất quốc phòng, quy hoạch sử dụng đất an ninh. Kế hoạch sử dụng đất cấp tỉnh, cấp xã được lập theo thời kỳ 05 năm, có nội dung và mức độ chi tiết phù hợp với yêu cầu quản lý của từng cấp. Việc lập kế hoạch sử dụng đất phải dựa trên cơ sở dữ liệu quốc gia về đất đai, ứng dụng công nghệ số, dữ liệu không gian và tích hợp các nội dung có liên quan của quy hoạch cấp trên, quy hoạch đô thị và nông thôn, quy hoạch ngành có sử dụng đất; bảo đảm đơn giản, công khai, minh bạch, thuận lợi trong tổ chức thực hiện, theo dõi và giám sát.</w:t>
      </w:r>
    </w:p>
    <w:p>
      <w:pPr>
        <w:pStyle w:val="Normal"/>
        <w:widowControl/>
        <w:spacing w:lineRule="exact" w:line="340" w:before="120" w:after="120"/>
        <w:ind w:firstLine="709"/>
        <w:jc w:val="both"/>
        <w:rPr>
          <w:rFonts w:ascii="Times New Roman" w:hAnsi="Times New Roman" w:cs="Times New Roman"/>
          <w:bCs/>
          <w:color w:val="auto"/>
          <w:sz w:val="28"/>
          <w:szCs w:val="28"/>
          <w:lang w:eastAsia="en-US"/>
        </w:rPr>
      </w:pPr>
      <w:r>
        <w:rPr>
          <w:rFonts w:cs="Times New Roman" w:ascii="Times New Roman" w:hAnsi="Times New Roman"/>
          <w:bCs/>
          <w:color w:val="auto"/>
          <w:sz w:val="28"/>
          <w:szCs w:val="28"/>
          <w:lang w:eastAsia="en-US"/>
        </w:rPr>
        <w:t>- Quy định chặt chẽ căn cứ, thẩm quyền, trình tự và điều kiện điều chỉnh quy hoạch, kế hoạch sử dụng đất; chỉ điều chỉnh khi thực sự cần thiết vì lợi ích quốc gia, công cộng, yêu cầu quốc phòng, an ninh, có biến động lớn về điều kiện tự nhiên, kinh tế - xã hội hoặc để thực hiện yêu cầu của cơ quan có thẩm quyền; kiểm soát việc điều chỉnh tùy tiện, chạy theo lợi ích cục bộ, làm phát sinh quy hoạch treo hoặc phá vỡ định hướng phát triển dài hạn.</w:t>
      </w:r>
    </w:p>
    <w:p>
      <w:pPr>
        <w:pStyle w:val="Normal"/>
        <w:widowControl/>
        <w:spacing w:lineRule="exact" w:line="340" w:before="120" w:after="120"/>
        <w:ind w:firstLine="709"/>
        <w:jc w:val="both"/>
        <w:rPr>
          <w:rFonts w:ascii="Times New Roman" w:hAnsi="Times New Roman" w:cs="Times New Roman"/>
          <w:bCs/>
          <w:color w:val="auto"/>
          <w:sz w:val="28"/>
          <w:szCs w:val="28"/>
          <w:lang w:eastAsia="en-US"/>
        </w:rPr>
      </w:pPr>
      <w:r>
        <w:rPr>
          <w:rFonts w:cs="Times New Roman" w:ascii="Times New Roman" w:hAnsi="Times New Roman"/>
          <w:bCs/>
          <w:color w:val="auto"/>
          <w:sz w:val="28"/>
          <w:szCs w:val="28"/>
          <w:lang w:eastAsia="en-US"/>
        </w:rPr>
        <w:t>- Quy hoạch sử dụng đất quốc gia phải bảo đảm phân bổ, quản lý chặt chẽ diện tích đất quốc phòng, an ninh, đất trồng lúa, đất rừng và các khu vực cần bảo vệ nghiêm ngặt; nghiên cứu xác định diện tích đất canh tác quốc gia tối thiểu, diện tích đất trồng lúa cần bảo vệ và cơ chế chuyển đổi có kiểm soát đối với diện tích đất trồng lúa kém hiệu quả, bảo đảm an ninh lương thực quốc gia.</w:t>
      </w:r>
    </w:p>
    <w:p>
      <w:pPr>
        <w:pStyle w:val="Heading3"/>
        <w:spacing w:lineRule="exact" w:line="340" w:before="120" w:after="120"/>
        <w:ind w:firstLine="709"/>
        <w:rPr>
          <w:rFonts w:ascii="Times New Roman" w:hAnsi="Times New Roman" w:cs="Times New Roman"/>
          <w:i/>
          <w:iCs/>
          <w:color w:val="auto"/>
          <w:sz w:val="28"/>
          <w:lang w:eastAsia="en-US"/>
        </w:rPr>
      </w:pPr>
      <w:r>
        <w:rPr>
          <w:rFonts w:cs="Times New Roman" w:ascii="Times New Roman" w:hAnsi="Times New Roman"/>
          <w:i/>
          <w:iCs/>
          <w:color w:val="auto"/>
          <w:sz w:val="28"/>
          <w:lang w:eastAsia="en-US"/>
        </w:rPr>
        <w:t xml:space="preserve">c) Các giải pháp thực hiện chính sách: </w:t>
      </w:r>
    </w:p>
    <w:p>
      <w:pPr>
        <w:pStyle w:val="Normal"/>
        <w:widowControl/>
        <w:spacing w:lineRule="exact" w:line="340" w:before="120" w:after="120"/>
        <w:ind w:firstLine="709"/>
        <w:jc w:val="both"/>
        <w:rPr>
          <w:rFonts w:ascii="Times New Roman" w:hAnsi="Times New Roman" w:cs="Times New Roman"/>
          <w:bCs/>
          <w:color w:val="auto"/>
          <w:sz w:val="28"/>
          <w:szCs w:val="28"/>
          <w:u w:val="single"/>
          <w:lang w:eastAsia="en-US"/>
        </w:rPr>
      </w:pPr>
      <w:r>
        <w:rPr>
          <w:rFonts w:cs="Times New Roman" w:ascii="Times New Roman" w:hAnsi="Times New Roman"/>
          <w:bCs/>
          <w:color w:val="auto"/>
          <w:sz w:val="28"/>
          <w:szCs w:val="28"/>
          <w:lang w:eastAsia="en-US"/>
        </w:rPr>
        <w:t xml:space="preserve">- </w:t>
      </w:r>
      <w:r>
        <w:rPr>
          <w:rFonts w:cs="Times New Roman" w:ascii="Times New Roman" w:hAnsi="Times New Roman"/>
          <w:bCs/>
          <w:color w:val="auto"/>
          <w:sz w:val="28"/>
          <w:szCs w:val="28"/>
          <w:u w:val="single"/>
          <w:lang w:eastAsia="en-US"/>
        </w:rPr>
        <w:t>Giải pháp 01</w:t>
      </w:r>
      <w:r>
        <w:rPr>
          <w:rFonts w:cs="Times New Roman" w:ascii="Times New Roman" w:hAnsi="Times New Roman"/>
          <w:bCs/>
          <w:color w:val="auto"/>
          <w:sz w:val="28"/>
          <w:szCs w:val="28"/>
          <w:lang w:eastAsia="en-US"/>
        </w:rPr>
        <w:t>: Sửa đổi Chương VI Luật Đất đai năm 2024 và các văn bản quy định chi tiết về:</w:t>
      </w:r>
    </w:p>
    <w:p>
      <w:pPr>
        <w:pStyle w:val="Normal"/>
        <w:widowControl/>
        <w:spacing w:lineRule="exact" w:line="340" w:before="120" w:after="120"/>
        <w:ind w:firstLine="709"/>
        <w:jc w:val="both"/>
        <w:rPr>
          <w:rFonts w:ascii="Times New Roman" w:hAnsi="Times New Roman" w:cs="Times New Roman"/>
          <w:bCs/>
          <w:color w:val="auto"/>
          <w:sz w:val="28"/>
          <w:szCs w:val="28"/>
          <w:lang w:eastAsia="en-US"/>
        </w:rPr>
      </w:pPr>
      <w:r>
        <w:rPr>
          <w:rFonts w:cs="Times New Roman" w:ascii="Times New Roman" w:hAnsi="Times New Roman"/>
          <w:bCs/>
          <w:color w:val="auto"/>
          <w:sz w:val="28"/>
          <w:szCs w:val="28"/>
          <w:lang w:eastAsia="en-US"/>
        </w:rPr>
        <w:t>+ Quy định hệ thống quy hoạch, kế hoạch sử dụng đất tinh gọn, phù hợp với mô hình tổ chức chính quyền địa phương 02 cấp; xác định rõ nội dung, vai trò và mối quan hệ giữa quy hoạch sử dụng đất quốc gia, kế hoạch sử dụng đất cấp tỉnh, kế hoạch sử dụng đất cấp xã, quy hoạch sử dụng đất quốc phòng và quy hoạch sử dụng đất an ninh.</w:t>
      </w:r>
    </w:p>
    <w:p>
      <w:pPr>
        <w:pStyle w:val="Normal"/>
        <w:widowControl/>
        <w:spacing w:lineRule="exact" w:line="340" w:before="120" w:after="120"/>
        <w:ind w:firstLine="709"/>
        <w:jc w:val="both"/>
        <w:rPr>
          <w:rFonts w:ascii="Times New Roman" w:hAnsi="Times New Roman" w:cs="Times New Roman"/>
          <w:bCs/>
          <w:color w:val="auto"/>
          <w:sz w:val="28"/>
          <w:szCs w:val="28"/>
          <w:lang w:eastAsia="en-US"/>
        </w:rPr>
      </w:pPr>
      <w:r>
        <w:rPr>
          <w:rFonts w:cs="Times New Roman" w:ascii="Times New Roman" w:hAnsi="Times New Roman"/>
          <w:bCs/>
          <w:color w:val="auto"/>
          <w:sz w:val="28"/>
          <w:szCs w:val="28"/>
          <w:lang w:eastAsia="en-US"/>
        </w:rPr>
        <w:t>+ Quy định kế hoạch sử dụng đất cấp tỉnh, cấp xã được lập theo thời kỳ 05 năm; kế hoạch sử dụng đất cấp xã là căn cứ trực tiếp để thu hồi đất, giao đất, cho thuê đất, cho phép chuyển mục đích sử dụng đất và tổ chức thực hiện các dự án có sử dụng đất trên địa bàn.</w:t>
      </w:r>
    </w:p>
    <w:p>
      <w:pPr>
        <w:pStyle w:val="Normal"/>
        <w:widowControl/>
        <w:spacing w:lineRule="exact" w:line="340" w:before="120" w:after="120"/>
        <w:ind w:firstLine="709"/>
        <w:jc w:val="both"/>
        <w:rPr>
          <w:rFonts w:ascii="Times New Roman" w:hAnsi="Times New Roman" w:cs="Times New Roman"/>
          <w:bCs/>
          <w:color w:val="auto"/>
          <w:sz w:val="28"/>
          <w:szCs w:val="28"/>
          <w:lang w:eastAsia="en-US"/>
        </w:rPr>
      </w:pPr>
      <w:r>
        <w:rPr>
          <w:rFonts w:cs="Times New Roman" w:ascii="Times New Roman" w:hAnsi="Times New Roman"/>
          <w:bCs/>
          <w:color w:val="auto"/>
          <w:sz w:val="28"/>
          <w:szCs w:val="28"/>
          <w:lang w:eastAsia="en-US"/>
        </w:rPr>
        <w:t>+ Quy định nguyên tắc quy hoạch, kế hoạch sử dụng đất phải kết hợp giữa chỉ tiêu sử dụng đất với tổ chức không gian phát triển, phân vùng sử dụng đất, khoanh định khu vực cần bảo vệ; nội dung và mức độ chi tiết phải phù hợp với yêu cầu quản lý của từng cấp, tránh quy định quá chi tiết làm hạn chế tính linh hoạt trong tổ chức thực hiện.</w:t>
      </w:r>
    </w:p>
    <w:p>
      <w:pPr>
        <w:pStyle w:val="Normal"/>
        <w:widowControl/>
        <w:spacing w:lineRule="exact" w:line="340" w:before="120" w:after="120"/>
        <w:ind w:firstLine="709"/>
        <w:jc w:val="both"/>
        <w:rPr>
          <w:rFonts w:ascii="Times New Roman" w:hAnsi="Times New Roman" w:cs="Times New Roman"/>
          <w:bCs/>
          <w:color w:val="auto"/>
          <w:sz w:val="28"/>
          <w:szCs w:val="28"/>
          <w:lang w:eastAsia="en-US"/>
        </w:rPr>
      </w:pPr>
      <w:r>
        <w:rPr>
          <w:rFonts w:cs="Times New Roman" w:ascii="Times New Roman" w:hAnsi="Times New Roman"/>
          <w:bCs/>
          <w:color w:val="auto"/>
          <w:sz w:val="28"/>
          <w:szCs w:val="28"/>
          <w:lang w:eastAsia="en-US"/>
        </w:rPr>
        <w:t>+ Quy định việc lập kế hoạch sử dụng đất trên cơ sở cơ sở dữ liệu quốc gia về đất đai; đẩy mạnh số hóa, sử dụng dữ liệu không gian, công khai thông tin và kết nối với hệ thống thông tin, cơ sở dữ liệu về quy hoạch, đầu tư, xây dựng và các ngành, lĩnh vực có liên quan.</w:t>
      </w:r>
    </w:p>
    <w:p>
      <w:pPr>
        <w:pStyle w:val="Normal"/>
        <w:widowControl/>
        <w:spacing w:lineRule="exact" w:line="340" w:before="120" w:after="120"/>
        <w:ind w:firstLine="709"/>
        <w:jc w:val="both"/>
        <w:rPr>
          <w:rFonts w:ascii="Times New Roman" w:hAnsi="Times New Roman" w:cs="Times New Roman"/>
          <w:bCs/>
          <w:color w:val="auto"/>
          <w:sz w:val="28"/>
          <w:szCs w:val="28"/>
          <w:lang w:eastAsia="en-US"/>
        </w:rPr>
      </w:pPr>
      <w:r>
        <w:rPr>
          <w:rFonts w:cs="Times New Roman" w:ascii="Times New Roman" w:hAnsi="Times New Roman"/>
          <w:bCs/>
          <w:color w:val="auto"/>
          <w:sz w:val="28"/>
          <w:szCs w:val="28"/>
          <w:lang w:eastAsia="en-US"/>
        </w:rPr>
        <w:t>+ Hoàn thiện quy định về nội dung quy hoạch sử dụng đất quốc gia, bảo đảm phân bổ, quản lý chặt chẽ diện tích đất quốc phòng, an ninh, đất trồng lúa, đất rừng; xác định các chỉ tiêu sử dụng đất cần bảo vệ, diện tích đất canh tác quốc gia tối thiểu và nguyên tắc chuyển đổi có kiểm soát đối với diện tích đất trồng lúa kém hiệu quả.</w:t>
      </w:r>
    </w:p>
    <w:p>
      <w:pPr>
        <w:pStyle w:val="Normal"/>
        <w:widowControl/>
        <w:spacing w:lineRule="exact" w:line="340" w:before="120" w:after="120"/>
        <w:ind w:firstLine="709"/>
        <w:jc w:val="both"/>
        <w:rPr>
          <w:rFonts w:ascii="Times New Roman" w:hAnsi="Times New Roman" w:cs="Times New Roman"/>
          <w:bCs/>
          <w:color w:val="auto"/>
          <w:sz w:val="28"/>
          <w:szCs w:val="28"/>
          <w:lang w:eastAsia="en-US"/>
        </w:rPr>
      </w:pPr>
      <w:r>
        <w:rPr>
          <w:rFonts w:cs="Times New Roman" w:ascii="Times New Roman" w:hAnsi="Times New Roman"/>
          <w:bCs/>
          <w:color w:val="auto"/>
          <w:sz w:val="28"/>
          <w:szCs w:val="28"/>
          <w:lang w:eastAsia="en-US"/>
        </w:rPr>
        <w:t>+ Quy định chặt chẽ căn cứ, điều kiện và thẩm quyền điều chỉnh quy hoạch, kế hoạch sử dụng đất; nguyên tắc xử lý mâu thuẫn giữa quy hoạch, kế hoạch sử dụng đất với các quy hoạch có liên quan; giao Chính phủ quy định chi tiết nội dung, hồ sơ, trình tự lập, điều chỉnh, thẩm định, phê duyệt, công bố và tổ chức thực hiện.</w:t>
      </w:r>
    </w:p>
    <w:p>
      <w:pPr>
        <w:pStyle w:val="Normal"/>
        <w:widowControl/>
        <w:spacing w:lineRule="exact" w:line="340" w:before="120" w:after="120"/>
        <w:ind w:firstLine="709"/>
        <w:jc w:val="both"/>
        <w:rPr>
          <w:rFonts w:ascii="Times New Roman" w:hAnsi="Times New Roman" w:cs="Times New Roman"/>
          <w:bCs/>
          <w:color w:val="auto"/>
          <w:sz w:val="28"/>
          <w:szCs w:val="28"/>
          <w:lang w:eastAsia="en-US"/>
        </w:rPr>
      </w:pPr>
      <w:r>
        <w:rPr>
          <w:rFonts w:cs="Times New Roman" w:ascii="Times New Roman" w:hAnsi="Times New Roman"/>
          <w:bCs/>
          <w:color w:val="auto"/>
          <w:sz w:val="28"/>
          <w:szCs w:val="28"/>
          <w:lang w:eastAsia="en-US"/>
        </w:rPr>
        <w:t>+ Rà soát, đề xuất sửa đổi, bổ sung đồng bộ pháp luật về quy hoạch, quy hoạch đô thị và nông thôn, xây dựng, quản lý tài sản công, tài nguyên biển và pháp luật có liên quan để thống nhất trong quản lý, khai thác không gian ngầm, không gian lấn biển và tổ chức thực hiện quy hoạch sử dụng đất.</w:t>
      </w:r>
    </w:p>
    <w:p>
      <w:pPr>
        <w:pStyle w:val="Normal"/>
        <w:widowControl/>
        <w:spacing w:lineRule="exact" w:line="340" w:before="120" w:after="120"/>
        <w:ind w:firstLine="709"/>
        <w:jc w:val="both"/>
        <w:rPr>
          <w:rFonts w:ascii="Times New Roman" w:hAnsi="Times New Roman" w:cs="Times New Roman"/>
          <w:bCs/>
          <w:color w:val="auto"/>
          <w:sz w:val="28"/>
          <w:szCs w:val="28"/>
          <w:u w:val="single"/>
          <w:lang w:eastAsia="en-US"/>
        </w:rPr>
      </w:pPr>
      <w:r>
        <w:rPr>
          <w:rFonts w:cs="Times New Roman" w:ascii="Times New Roman" w:hAnsi="Times New Roman"/>
          <w:bCs/>
          <w:color w:val="auto"/>
          <w:sz w:val="28"/>
          <w:szCs w:val="28"/>
          <w:u w:val="single"/>
          <w:lang w:eastAsia="en-US"/>
        </w:rPr>
        <w:t xml:space="preserve">- Giải pháp 02: </w:t>
      </w:r>
    </w:p>
    <w:p>
      <w:pPr>
        <w:pStyle w:val="Normal"/>
        <w:widowControl/>
        <w:spacing w:lineRule="exact" w:line="340" w:before="120" w:after="120"/>
        <w:ind w:firstLine="709"/>
        <w:jc w:val="both"/>
        <w:rPr>
          <w:rFonts w:ascii="Times New Roman" w:hAnsi="Times New Roman" w:cs="Times New Roman"/>
          <w:bCs/>
          <w:color w:val="auto"/>
          <w:sz w:val="28"/>
          <w:szCs w:val="28"/>
          <w:lang w:eastAsia="en-US"/>
        </w:rPr>
      </w:pPr>
      <w:r>
        <w:rPr>
          <w:rFonts w:cs="Times New Roman" w:ascii="Times New Roman" w:hAnsi="Times New Roman"/>
          <w:bCs/>
          <w:color w:val="auto"/>
          <w:sz w:val="28"/>
          <w:szCs w:val="28"/>
          <w:lang w:eastAsia="en-US"/>
        </w:rPr>
        <w:t>Sửa đổi hệ thống quy hoạch, kế hoạch sử dụng đất được lập thống nhất ở cấp quốc gia, cấp tỉnh và cấp xã phù hợp với mô hình tổ chức chính quyền hiện nay. Tiếp tục kế thừa các quy định tại Luật Đất đai năm 2024 về căn cứ, nội dung, trình tự lập, điều chỉnh, thẩm định, phê duyệt, công bố công khai để quy định trong Luật Đất đai (sửa đổi). Sửa đổi quy định về nội dung quy hoạch sử dụng đất quốc gia trong Luật Quy hoạch khi Luật Quy hoạch sửa đổi theo chương trình ban hành Luật, pháp lệnh của Quốc hội do không trong kỳ lập, điều chỉnh Quy hoạch sử dụng đất quốc gia.</w:t>
      </w:r>
    </w:p>
    <w:p>
      <w:pPr>
        <w:pStyle w:val="Heading3"/>
        <w:spacing w:lineRule="exact" w:line="340" w:before="120" w:after="120"/>
        <w:ind w:firstLine="709"/>
        <w:rPr>
          <w:rFonts w:ascii="Times New Roman" w:hAnsi="Times New Roman" w:cs="Times New Roman"/>
          <w:i/>
          <w:iCs/>
          <w:color w:val="auto"/>
          <w:sz w:val="28"/>
          <w:lang w:eastAsia="en-US"/>
        </w:rPr>
      </w:pPr>
      <w:r>
        <w:rPr>
          <w:rFonts w:cs="Times New Roman" w:ascii="Times New Roman" w:hAnsi="Times New Roman"/>
          <w:i/>
          <w:iCs/>
          <w:color w:val="auto"/>
          <w:sz w:val="28"/>
          <w:lang w:eastAsia="en-US"/>
        </w:rPr>
        <w:t xml:space="preserve">d) Giải pháp tối ưu được lựa chọn và lý do lựa chọn: </w:t>
      </w:r>
    </w:p>
    <w:p>
      <w:pPr>
        <w:pStyle w:val="Normal"/>
        <w:spacing w:lineRule="exact" w:line="340" w:before="120" w:after="120"/>
        <w:ind w:firstLine="709"/>
        <w:jc w:val="both"/>
        <w:rPr>
          <w:rFonts w:ascii="Times New Roman" w:hAnsi="Times New Roman" w:cs="Times New Roman"/>
          <w:bCs/>
          <w:color w:val="auto"/>
          <w:sz w:val="28"/>
          <w:szCs w:val="28"/>
          <w:lang w:eastAsia="en-US"/>
        </w:rPr>
      </w:pPr>
      <w:r>
        <w:rPr>
          <w:rFonts w:cs="Times New Roman" w:ascii="Times New Roman" w:hAnsi="Times New Roman"/>
          <w:bCs/>
          <w:color w:val="auto"/>
          <w:sz w:val="28"/>
          <w:szCs w:val="28"/>
          <w:lang w:eastAsia="en-US"/>
        </w:rPr>
        <w:t xml:space="preserve">Trên cơ sở phân tích, đánh giá tác động của các giải pháp, Bộ Nông nghiệp và Môi trường kiến nghị lựa chọn Giải pháp 01 nhằm bảo đảm sự thống nhất, đồng bộ của hệ thống quy hoạch, kế hoạch sử dụng đất và hệ thống pháp luật về quy hoạch; đồng thời phù hợp với chủ trương đổi mới xây dựng pháp luật theo hướng Luật chỉ quy định những vấn đề có tính nguyên tắc, khung, ổn định, còn các nội dung kỹ thuật, trình tự, thủ tục giao Chính phủ quy định chi tiết, bảo đảm tính linh hoạt, đáp ứng yêu cầu quản lý nhà nước trong từng thời kỳ. </w:t>
      </w:r>
      <w:bookmarkEnd w:id="4"/>
    </w:p>
    <w:p>
      <w:pPr>
        <w:pStyle w:val="Normal"/>
        <w:numPr>
          <w:ilvl w:val="0"/>
          <w:numId w:val="0"/>
        </w:numPr>
        <w:spacing w:lineRule="exact" w:line="340" w:before="120" w:after="120"/>
        <w:ind w:firstLine="709"/>
        <w:jc w:val="both"/>
        <w:outlineLvl w:val="1"/>
        <w:rPr>
          <w:rFonts w:ascii="Times New Roman" w:hAnsi="Times New Roman" w:cs="Times New Roman"/>
          <w:b/>
          <w:i/>
          <w:iCs/>
          <w:color w:val="auto"/>
          <w:sz w:val="28"/>
          <w:szCs w:val="28"/>
          <w:lang w:eastAsia="en-US"/>
        </w:rPr>
      </w:pPr>
      <w:r>
        <w:rPr>
          <w:rFonts w:cs="Times New Roman" w:ascii="Times New Roman" w:hAnsi="Times New Roman"/>
          <w:b/>
          <w:i/>
          <w:iCs/>
          <w:color w:val="auto"/>
          <w:sz w:val="28"/>
          <w:szCs w:val="28"/>
          <w:lang w:eastAsia="en-US"/>
        </w:rPr>
        <w:t>2. Chính sách 2: Hoàn thiện các quy định về giao đất, cho thuê đất, chuyển mục đích sử dụng đất</w:t>
      </w:r>
    </w:p>
    <w:p>
      <w:pPr>
        <w:pStyle w:val="Heading3"/>
        <w:spacing w:lineRule="exact" w:line="340" w:before="120" w:after="120"/>
        <w:ind w:firstLine="709"/>
        <w:rPr>
          <w:rFonts w:ascii="Times New Roman" w:hAnsi="Times New Roman" w:cs="Times New Roman"/>
          <w:i/>
          <w:iCs/>
          <w:color w:val="auto"/>
          <w:sz w:val="28"/>
          <w:lang w:eastAsia="en-US"/>
        </w:rPr>
      </w:pPr>
      <w:r>
        <w:rPr>
          <w:rFonts w:cs="Times New Roman" w:ascii="Times New Roman" w:hAnsi="Times New Roman"/>
          <w:i/>
          <w:iCs/>
          <w:color w:val="auto"/>
          <w:sz w:val="28"/>
          <w:lang w:eastAsia="en-US"/>
        </w:rPr>
        <w:t>a) Mục tiêu của chính sách:</w:t>
      </w:r>
    </w:p>
    <w:p>
      <w:pPr>
        <w:pStyle w:val="Normal"/>
        <w:spacing w:lineRule="exact" w:line="340" w:before="120" w:after="120"/>
        <w:ind w:firstLine="709"/>
        <w:jc w:val="both"/>
        <w:rPr>
          <w:rFonts w:ascii="Times New Roman" w:hAnsi="Times New Roman" w:cs="Times New Roman"/>
          <w:bCs/>
          <w:color w:val="auto"/>
          <w:sz w:val="28"/>
          <w:szCs w:val="28"/>
          <w:lang w:eastAsia="en-US"/>
        </w:rPr>
      </w:pPr>
      <w:r>
        <w:rPr>
          <w:rFonts w:cs="Times New Roman" w:ascii="Times New Roman" w:hAnsi="Times New Roman"/>
          <w:bCs/>
          <w:color w:val="auto"/>
          <w:sz w:val="28"/>
          <w:szCs w:val="28"/>
          <w:lang w:eastAsia="en-US"/>
        </w:rPr>
        <w:t>Hoàn thiện các phương thức tiếp cận đất đai và cơ chế giao đất, cho thuê đất, chuyển mục đích sử dụng đất theo hướng công khai, minh bạch, cạnh tranh, bình đẳng, linh hoạt và phù hợp với tính chất của từng loại đất, từng loại hình dự án đầu tư.</w:t>
      </w:r>
    </w:p>
    <w:p>
      <w:pPr>
        <w:pStyle w:val="Normal"/>
        <w:spacing w:lineRule="exact" w:line="340" w:before="120" w:after="120"/>
        <w:ind w:firstLine="709"/>
        <w:jc w:val="both"/>
        <w:rPr>
          <w:rFonts w:ascii="Times New Roman" w:hAnsi="Times New Roman" w:cs="Times New Roman"/>
          <w:bCs/>
          <w:color w:val="auto"/>
          <w:sz w:val="28"/>
          <w:szCs w:val="28"/>
          <w:lang w:eastAsia="en-US"/>
        </w:rPr>
      </w:pPr>
      <w:r>
        <w:rPr>
          <w:rFonts w:cs="Times New Roman" w:ascii="Times New Roman" w:hAnsi="Times New Roman"/>
          <w:bCs/>
          <w:color w:val="auto"/>
          <w:sz w:val="28"/>
          <w:szCs w:val="28"/>
          <w:lang w:eastAsia="en-US"/>
        </w:rPr>
        <w:t>Bảo đảm lựa chọn đúng chủ thể có năng lực sử dụng đất hiệu quả; phòng, chống thất thoát, lãng phí, tiêu cực, lợi ích nhóm; cải cách thủ tục hành chính, tạo môi trường đầu tư thuận lợi và phát huy tối đa nguồn lực đất đai phục vụ phát triển kinh tế - xã hội, quốc phòng, an ninh và bảo đảm an sinh xã hội.</w:t>
      </w:r>
    </w:p>
    <w:p>
      <w:pPr>
        <w:pStyle w:val="Heading3"/>
        <w:spacing w:lineRule="exact" w:line="340" w:before="120" w:after="120"/>
        <w:ind w:firstLine="709"/>
        <w:rPr>
          <w:rFonts w:ascii="Times New Roman" w:hAnsi="Times New Roman" w:cs="Times New Roman"/>
          <w:i/>
          <w:iCs/>
          <w:color w:val="auto"/>
          <w:sz w:val="28"/>
          <w:lang w:eastAsia="en-US"/>
        </w:rPr>
      </w:pPr>
      <w:r>
        <w:rPr>
          <w:rFonts w:cs="Times New Roman" w:ascii="Times New Roman" w:hAnsi="Times New Roman"/>
          <w:i/>
          <w:iCs/>
          <w:color w:val="auto"/>
          <w:sz w:val="28"/>
          <w:lang w:eastAsia="en-US"/>
        </w:rPr>
        <w:t xml:space="preserve">b) Nội dung của chính sách: </w:t>
      </w:r>
    </w:p>
    <w:p>
      <w:pPr>
        <w:pStyle w:val="Normal"/>
        <w:spacing w:lineRule="exact" w:line="340" w:before="120" w:after="120"/>
        <w:ind w:firstLine="709"/>
        <w:jc w:val="both"/>
        <w:rPr>
          <w:rFonts w:ascii="Times New Roman" w:hAnsi="Times New Roman" w:cs="Times New Roman"/>
          <w:bCs/>
          <w:color w:val="auto"/>
          <w:sz w:val="28"/>
          <w:szCs w:val="28"/>
          <w:lang w:eastAsia="en-US"/>
        </w:rPr>
      </w:pPr>
      <w:r>
        <w:rPr>
          <w:rFonts w:cs="Times New Roman" w:ascii="Times New Roman" w:hAnsi="Times New Roman"/>
          <w:bCs/>
          <w:color w:val="auto"/>
          <w:sz w:val="28"/>
          <w:szCs w:val="28"/>
          <w:lang w:eastAsia="en-US"/>
        </w:rPr>
        <w:t>- Thực hiện giao đất, cho thuê đất chủ yếu thông qua đấu giá quyền sử dụng đất, đấu thầu lựa chọn nhà đầu tư thực hiện dự án có sử dụng đất đối với quỹ đất do Nhà nước thu hồi và quỹ đất do cơ quan, tổ chức của Nhà nước quản lý; bảo đảm công khai, minh bạch, cạnh tranh, lựa chọn nhà đầu tư có đủ năng lực và sử dụng đất hiệu quả. Phân định rõ các trường hợp giao đất, cho thuê đất thông qua đấu giá quyền sử dụng đất; giao đất, cho thuê đất thông qua đấu thầu lựa chọn nhà đầu tư thực hiện dự án có sử dụng đất; giao đất, cho thuê đất không đấu giá quyền sử dụng đất, không đấu thầu lựa chọn nhà đầu tư thực hiện dự án có sử dụng đất; sử dụng đất thông qua thỏa thuận về nhận quyền sử dụng đất hoặc sử dụng đất đang có quyền sử dụng. Cho phép người được Nhà nước cho thuê đất lựa chọn hình thức cho thuê đất thu tiền thuê đất một lần cho cả thời gian thuê hoặc cho thuê đất thu tiền thuê đất hằng năm tại thời điểm đề nghị thuê đất và được đề nghị chuyển hình thức sử dụng đất trong quá trình sử dụng; quy định các trường hợp bắt buộc áp dụng một hình thức thuê đất nhằm bảo đảm yêu cầu quản lý, hạn chế đầu cơ và phòng, chống thất thoát tài sản nhà nước.</w:t>
      </w:r>
    </w:p>
    <w:p>
      <w:pPr>
        <w:pStyle w:val="Normal"/>
        <w:spacing w:lineRule="exact" w:line="340" w:before="120" w:after="120"/>
        <w:ind w:firstLine="709"/>
        <w:jc w:val="both"/>
        <w:rPr>
          <w:rFonts w:ascii="Times New Roman" w:hAnsi="Times New Roman" w:cs="Times New Roman"/>
          <w:bCs/>
          <w:color w:val="auto"/>
          <w:sz w:val="28"/>
          <w:szCs w:val="28"/>
          <w:lang w:eastAsia="en-US"/>
        </w:rPr>
      </w:pPr>
      <w:r>
        <w:rPr>
          <w:rFonts w:cs="Times New Roman" w:ascii="Times New Roman" w:hAnsi="Times New Roman"/>
          <w:bCs/>
          <w:color w:val="auto"/>
          <w:sz w:val="28"/>
          <w:szCs w:val="28"/>
          <w:lang w:eastAsia="en-US"/>
        </w:rPr>
        <w:t>- Quy định đầy đủ căn cứ, điều kiện, tiêu chí, trình tự, trách nhiệm và cơ chế kiểm tra, giám sát đối với từng phương thức tiếp cận đất đai; cải cách thủ tục hành chính nhưng phải bảo đảm phòng, chống thất thoát, lãng phí, tiêu cực và lợi ích nhóm. Việc giao đất, cho thuê đất để thực hiện dự án đầu tư được xem xét trên cơ sở đánh giá tiến độ sử dụng đất, tiến độ đầu tư và hiệu quả sử dụng đất của các dự án mà người sử dụng đất đã được Nhà nước giao đất, cho thuê đất.</w:t>
      </w:r>
    </w:p>
    <w:p>
      <w:pPr>
        <w:pStyle w:val="Normal"/>
        <w:spacing w:lineRule="exact" w:line="340" w:before="120" w:after="120"/>
        <w:ind w:firstLine="709"/>
        <w:jc w:val="both"/>
        <w:rPr>
          <w:rFonts w:ascii="Times New Roman" w:hAnsi="Times New Roman" w:cs="Times New Roman"/>
          <w:bCs/>
          <w:color w:val="auto"/>
          <w:sz w:val="28"/>
          <w:szCs w:val="28"/>
          <w:lang w:eastAsia="en-US"/>
        </w:rPr>
      </w:pPr>
      <w:r>
        <w:rPr>
          <w:rFonts w:cs="Times New Roman" w:ascii="Times New Roman" w:hAnsi="Times New Roman"/>
          <w:bCs/>
          <w:color w:val="auto"/>
          <w:sz w:val="28"/>
          <w:szCs w:val="28"/>
          <w:lang w:eastAsia="en-US"/>
        </w:rPr>
        <w:t>- Hoàn thiện các hình thức sử dụng đất gồm giao đất không thu tiền sử dụng đất, giao đất có thu tiền sử dụng đất, cho thuê đất thu tiền thuê đất một lần cho cả thời gian thuê và cho thuê đất thu tiền thuê đất hằng năm; xác định rõ đối tượng, mục đích sử dụng, quyền và nghĩa vụ tương ứng với từng hình thức.</w:t>
      </w:r>
    </w:p>
    <w:p>
      <w:pPr>
        <w:pStyle w:val="Normal"/>
        <w:spacing w:lineRule="exact" w:line="340" w:before="120" w:after="120"/>
        <w:ind w:firstLine="709"/>
        <w:jc w:val="both"/>
        <w:rPr>
          <w:rFonts w:ascii="Times New Roman" w:hAnsi="Times New Roman" w:cs="Times New Roman"/>
          <w:bCs/>
          <w:color w:val="auto"/>
          <w:sz w:val="28"/>
          <w:szCs w:val="28"/>
          <w:lang w:eastAsia="en-US"/>
        </w:rPr>
      </w:pPr>
      <w:r>
        <w:rPr>
          <w:rFonts w:cs="Times New Roman" w:ascii="Times New Roman" w:hAnsi="Times New Roman"/>
          <w:bCs/>
          <w:color w:val="auto"/>
          <w:sz w:val="28"/>
          <w:szCs w:val="28"/>
          <w:lang w:eastAsia="en-US"/>
        </w:rPr>
        <w:t>- Hoàn thiện cơ chế giao đất, cho thuê đất để phát triển nhà ở thuộc sở hữu Nhà nước, nhà ở cho thuê, nhà ở chính sách, nhà ở thương mại và nhà ở phục vụ tái định cư; có chính sách đất đai phù hợp để khuyến khích khu vực tư nhân tham gia phát triển nhà ở cho thuê với giá hợp lý.</w:t>
      </w:r>
    </w:p>
    <w:p>
      <w:pPr>
        <w:pStyle w:val="Normal"/>
        <w:spacing w:lineRule="exact" w:line="340" w:before="120" w:after="120"/>
        <w:ind w:firstLine="709"/>
        <w:jc w:val="both"/>
        <w:rPr>
          <w:rFonts w:ascii="Times New Roman" w:hAnsi="Times New Roman" w:cs="Times New Roman"/>
          <w:bCs/>
          <w:color w:val="auto"/>
          <w:sz w:val="28"/>
          <w:szCs w:val="28"/>
          <w:lang w:eastAsia="en-US"/>
        </w:rPr>
      </w:pPr>
      <w:r>
        <w:rPr>
          <w:rFonts w:cs="Times New Roman" w:ascii="Times New Roman" w:hAnsi="Times New Roman"/>
          <w:bCs/>
          <w:color w:val="auto"/>
          <w:sz w:val="28"/>
          <w:szCs w:val="28"/>
          <w:lang w:eastAsia="en-US"/>
        </w:rPr>
        <w:t>- Áp dụng đấu giá quyền sử dụng đất đối với cả trường hợp Nhà nước cho thuê đất thu tiền thuê đất một lần cho cả thời gian thuê và trường hợp Nhà nước cho thuê đất thu tiền thuê đất hằng năm, bảo đảm thống nhất giữa phương thức tiếp cận đất đai và hình thức thực hiện nghĩa vụ tài chính.</w:t>
      </w:r>
    </w:p>
    <w:p>
      <w:pPr>
        <w:pStyle w:val="Normal"/>
        <w:spacing w:lineRule="exact" w:line="340" w:before="120" w:after="120"/>
        <w:ind w:firstLine="709"/>
        <w:jc w:val="both"/>
        <w:rPr>
          <w:rFonts w:ascii="Times New Roman" w:hAnsi="Times New Roman" w:cs="Times New Roman"/>
          <w:bCs/>
          <w:color w:val="auto"/>
          <w:sz w:val="28"/>
          <w:szCs w:val="28"/>
          <w:lang w:eastAsia="en-US"/>
        </w:rPr>
      </w:pPr>
      <w:r>
        <w:rPr>
          <w:rFonts w:cs="Times New Roman" w:ascii="Times New Roman" w:hAnsi="Times New Roman"/>
          <w:bCs/>
          <w:color w:val="auto"/>
          <w:sz w:val="28"/>
          <w:szCs w:val="28"/>
          <w:lang w:eastAsia="en-US"/>
        </w:rPr>
        <w:t>- Hoàn thiện cơ chế cho thuê đất ngắn hạn đối với quỹ đất do cơ quan, tổ chức của Nhà nước quản lý trong thời gian chưa đưa đất vào sử dụng theo quy hoạch, kế hoạch sử dụng đất; giao tổ chức phát triển quỹ đất, đơn vị sự nghiệp công lập trực thuộc Ủy ban nhân dân cấp xã thực hiện theo quy định của Chính phủ, bảo đảm khai thác đất hợp lý, hiệu quả, công khai và không làm phát sinh quyền sử dụng đất cho bên thuê.</w:t>
      </w:r>
    </w:p>
    <w:p>
      <w:pPr>
        <w:pStyle w:val="Normal"/>
        <w:spacing w:lineRule="exact" w:line="340" w:before="120" w:after="120"/>
        <w:ind w:firstLine="709"/>
        <w:jc w:val="both"/>
        <w:rPr>
          <w:rFonts w:ascii="Times New Roman" w:hAnsi="Times New Roman" w:cs="Times New Roman"/>
          <w:bCs/>
          <w:color w:val="auto"/>
          <w:sz w:val="28"/>
          <w:szCs w:val="28"/>
          <w:lang w:eastAsia="en-US"/>
        </w:rPr>
      </w:pPr>
      <w:r>
        <w:rPr>
          <w:rFonts w:cs="Times New Roman" w:ascii="Times New Roman" w:hAnsi="Times New Roman"/>
          <w:bCs/>
          <w:color w:val="auto"/>
          <w:sz w:val="28"/>
          <w:szCs w:val="28"/>
          <w:lang w:eastAsia="en-US"/>
        </w:rPr>
        <w:t>- Tăng cường công tác quản lý, kiểm soát chặt chẽ việc chuyển mục đích sử dụng đất, đặc biệt là đất trồng lúa, đất rừng phòng hộ, đất rừng đặc dụng, đất rừng sản xuất là rừng tự nhiên; tăng cường phân cấp, phân quyền đi đôi với kiểm tra, giám sát, đẩy mạnh cải cách thủ tục hành chính trong chuyển mục đích sử dụng đất.</w:t>
      </w:r>
    </w:p>
    <w:p>
      <w:pPr>
        <w:pStyle w:val="Heading3"/>
        <w:spacing w:lineRule="exact" w:line="340" w:before="120" w:after="120"/>
        <w:ind w:firstLine="709"/>
        <w:rPr>
          <w:rFonts w:ascii="Times New Roman" w:hAnsi="Times New Roman" w:cs="Times New Roman"/>
          <w:i/>
          <w:iCs/>
          <w:color w:val="auto"/>
          <w:sz w:val="28"/>
          <w:lang w:eastAsia="en-US"/>
        </w:rPr>
      </w:pPr>
      <w:r>
        <w:rPr>
          <w:rFonts w:cs="Times New Roman" w:ascii="Times New Roman" w:hAnsi="Times New Roman"/>
          <w:i/>
          <w:iCs/>
          <w:color w:val="auto"/>
          <w:sz w:val="28"/>
          <w:lang w:eastAsia="en-US"/>
        </w:rPr>
        <w:t xml:space="preserve">c) Các giải pháp thực hiện chính sách: </w:t>
      </w:r>
    </w:p>
    <w:p>
      <w:pPr>
        <w:pStyle w:val="Normal"/>
        <w:spacing w:lineRule="exact" w:line="340" w:before="120" w:after="120"/>
        <w:ind w:firstLine="709"/>
        <w:jc w:val="both"/>
        <w:rPr>
          <w:rFonts w:ascii="Times New Roman" w:hAnsi="Times New Roman" w:cs="Times New Roman"/>
          <w:color w:val="auto"/>
          <w:sz w:val="28"/>
          <w:szCs w:val="28"/>
          <w:u w:val="single"/>
          <w:lang w:eastAsia="en-US"/>
        </w:rPr>
      </w:pPr>
      <w:r>
        <w:rPr>
          <w:rFonts w:cs="Times New Roman" w:ascii="Times New Roman" w:hAnsi="Times New Roman"/>
          <w:color w:val="auto"/>
          <w:sz w:val="28"/>
          <w:szCs w:val="28"/>
          <w:lang w:eastAsia="en-US"/>
        </w:rPr>
        <w:t xml:space="preserve">- </w:t>
      </w:r>
      <w:r>
        <w:rPr>
          <w:rFonts w:cs="Times New Roman" w:ascii="Times New Roman" w:hAnsi="Times New Roman"/>
          <w:color w:val="auto"/>
          <w:sz w:val="28"/>
          <w:szCs w:val="28"/>
          <w:u w:val="single"/>
          <w:lang w:eastAsia="en-US"/>
        </w:rPr>
        <w:t>Giải pháp 1</w:t>
      </w:r>
      <w:r>
        <w:rPr>
          <w:rFonts w:cs="Times New Roman" w:ascii="Times New Roman" w:hAnsi="Times New Roman"/>
          <w:color w:val="auto"/>
          <w:sz w:val="28"/>
          <w:szCs w:val="28"/>
          <w:lang w:eastAsia="en-US"/>
        </w:rPr>
        <w:t xml:space="preserve">: </w:t>
      </w:r>
      <w:r>
        <w:rPr>
          <w:rFonts w:cs="Times New Roman" w:ascii="Times New Roman" w:hAnsi="Times New Roman"/>
          <w:bCs/>
          <w:color w:val="auto"/>
          <w:sz w:val="28"/>
          <w:szCs w:val="28"/>
          <w:lang w:eastAsia="en-US"/>
        </w:rPr>
        <w:t>Đổi mới toàn diện cơ chế giao đất, cho thuê đất, chuyển mục đích sử dụng đất</w:t>
      </w:r>
    </w:p>
    <w:p>
      <w:pPr>
        <w:pStyle w:val="Normal"/>
        <w:spacing w:lineRule="exact" w:line="340" w:before="120" w:after="120"/>
        <w:ind w:firstLine="709"/>
        <w:jc w:val="both"/>
        <w:rPr>
          <w:rFonts w:ascii="Times New Roman" w:hAnsi="Times New Roman" w:cs="Times New Roman"/>
          <w:bCs/>
          <w:color w:val="auto"/>
          <w:sz w:val="28"/>
          <w:szCs w:val="28"/>
          <w:lang w:eastAsia="en-US"/>
        </w:rPr>
      </w:pPr>
      <w:r>
        <w:rPr>
          <w:rFonts w:cs="Times New Roman" w:ascii="Times New Roman" w:hAnsi="Times New Roman"/>
          <w:bCs/>
          <w:color w:val="auto"/>
          <w:sz w:val="28"/>
          <w:szCs w:val="28"/>
          <w:lang w:eastAsia="en-US"/>
        </w:rPr>
        <w:t>+ Luật hóa các trường hợp giao đất, cho thuê đất không đấu giá quyền sử dụng đất, không đấu thầu lựa chọn nhà đầu tư thực hiện dự án có sử dụng đất quy định tại Nghị quyết số 254/2025/QH15 và các nghị quyết của Quốc hội về cơ chế, chính sách đặc thù đã được thực tiễn kiểm nghiệm, bảo đảm tính thống nhất, ổn định của hệ thống pháp luật.</w:t>
      </w:r>
    </w:p>
    <w:p>
      <w:pPr>
        <w:pStyle w:val="Normal"/>
        <w:spacing w:lineRule="exact" w:line="340" w:before="120" w:after="120"/>
        <w:ind w:firstLine="709"/>
        <w:jc w:val="both"/>
        <w:rPr>
          <w:rFonts w:ascii="Times New Roman" w:hAnsi="Times New Roman" w:cs="Times New Roman"/>
          <w:bCs/>
          <w:color w:val="auto"/>
          <w:sz w:val="28"/>
          <w:szCs w:val="28"/>
          <w:lang w:eastAsia="en-US"/>
        </w:rPr>
      </w:pPr>
      <w:r>
        <w:rPr>
          <w:rFonts w:cs="Times New Roman" w:ascii="Times New Roman" w:hAnsi="Times New Roman"/>
          <w:bCs/>
          <w:color w:val="auto"/>
          <w:sz w:val="28"/>
          <w:szCs w:val="28"/>
          <w:lang w:eastAsia="en-US"/>
        </w:rPr>
        <w:t>+ Sửa đổi, hoàn thiện trong Luật Đất đai các trường hợp Nhà nước giao đất không thu tiền sử dụng đất, giao đất có thu tiền sử dụng đất, cho thuê đất thu tiền thuê đất một lần cho cả thời gian thuê và cho thuê đất thu tiền thuê đất hằng năm; quy định hình thức sử dụng đất phù hợp với nhà ở thuộc sở hữu Nhà nước, nhà ở cho thuê, nhà ở chính sách, nhà ở thương mại, nhà ở phục vụ tái định cư và các loại hình dự án mới.</w:t>
      </w:r>
    </w:p>
    <w:p>
      <w:pPr>
        <w:pStyle w:val="Normal"/>
        <w:spacing w:lineRule="exact" w:line="340" w:before="120" w:after="120"/>
        <w:ind w:firstLine="709"/>
        <w:jc w:val="both"/>
        <w:rPr>
          <w:rFonts w:ascii="Times New Roman" w:hAnsi="Times New Roman" w:cs="Times New Roman"/>
          <w:bCs/>
          <w:color w:val="auto"/>
          <w:sz w:val="28"/>
          <w:szCs w:val="28"/>
          <w:lang w:eastAsia="en-US"/>
        </w:rPr>
      </w:pPr>
      <w:r>
        <w:rPr>
          <w:rFonts w:cs="Times New Roman" w:ascii="Times New Roman" w:hAnsi="Times New Roman"/>
          <w:bCs/>
          <w:color w:val="auto"/>
          <w:sz w:val="28"/>
          <w:szCs w:val="28"/>
          <w:lang w:eastAsia="en-US"/>
        </w:rPr>
        <w:t>+ Quy định rõ phạm vi áp dụng của đấu giá quyền sử dụng đất, đấu thầu lựa chọn nhà đầu tư thực hiện dự án có sử dụng đất, giao đất, cho thuê đất không đấu giá quyền sử dụng đất, không đấu thầu lựa chọn nhà đầu tư thực hiện dự án có sử dụng đất và thỏa thuận về nhận quyền sử dụng đất; bảo đảm không chồng chéo, không tạo khoảng trống pháp luật và thuận lợi trong tổ chức thực hiện.</w:t>
      </w:r>
    </w:p>
    <w:p>
      <w:pPr>
        <w:pStyle w:val="Normal"/>
        <w:spacing w:lineRule="exact" w:line="340" w:before="120" w:after="120"/>
        <w:ind w:firstLine="709"/>
        <w:jc w:val="both"/>
        <w:rPr>
          <w:rFonts w:ascii="Times New Roman" w:hAnsi="Times New Roman" w:cs="Times New Roman"/>
          <w:bCs/>
          <w:color w:val="auto"/>
          <w:sz w:val="28"/>
          <w:szCs w:val="28"/>
          <w:lang w:eastAsia="en-US"/>
        </w:rPr>
      </w:pPr>
      <w:r>
        <w:rPr>
          <w:rFonts w:cs="Times New Roman" w:ascii="Times New Roman" w:hAnsi="Times New Roman"/>
          <w:bCs/>
          <w:color w:val="auto"/>
          <w:sz w:val="28"/>
          <w:szCs w:val="28"/>
          <w:lang w:eastAsia="en-US"/>
        </w:rPr>
        <w:t>+ Bổ sung quy định đấu giá quyền sử dụng đất đối với trường hợp Nhà nước cho thuê đất thu tiền thuê đất hằng năm; xác định giá khởi điểm, phương thức trả giá, trách nhiệm thực hiện nghĩa vụ tài chính và cơ chế xử lý vi phạm phù hợp với đặc điểm của hình thức trả tiền thuê đất hằng năm.</w:t>
      </w:r>
    </w:p>
    <w:p>
      <w:pPr>
        <w:pStyle w:val="Normal"/>
        <w:spacing w:lineRule="exact" w:line="340" w:before="120" w:after="120"/>
        <w:ind w:firstLine="709"/>
        <w:jc w:val="both"/>
        <w:rPr>
          <w:rFonts w:ascii="Times New Roman" w:hAnsi="Times New Roman" w:cs="Times New Roman"/>
          <w:bCs/>
          <w:color w:val="auto"/>
          <w:sz w:val="28"/>
          <w:szCs w:val="28"/>
          <w:lang w:eastAsia="en-US"/>
        </w:rPr>
      </w:pPr>
      <w:r>
        <w:rPr>
          <w:rFonts w:cs="Times New Roman" w:ascii="Times New Roman" w:hAnsi="Times New Roman"/>
          <w:bCs/>
          <w:color w:val="auto"/>
          <w:sz w:val="28"/>
          <w:szCs w:val="28"/>
          <w:lang w:eastAsia="en-US"/>
        </w:rPr>
        <w:t>+ Cho phép người được Nhà nước cho thuê đất lựa chọn hình thức trả tiền thuê đất tại thời điểm đề nghị thuê đất và được đề nghị chuyển giữa hình thức cho thuê đất thu tiền thuê đất hằng năm với cho thuê đất thu tiền thuê đất một lần cho thời gian thuê còn lại; quy định cụ thể các trường hợp không được lựa chọn hoặc không được chuyển hình thức sử dụng đất.</w:t>
      </w:r>
    </w:p>
    <w:p>
      <w:pPr>
        <w:pStyle w:val="Normal"/>
        <w:spacing w:lineRule="exact" w:line="340" w:before="120" w:after="120"/>
        <w:ind w:firstLine="709"/>
        <w:jc w:val="both"/>
        <w:rPr>
          <w:rFonts w:ascii="Times New Roman" w:hAnsi="Times New Roman" w:cs="Times New Roman"/>
          <w:bCs/>
          <w:color w:val="auto"/>
          <w:sz w:val="28"/>
          <w:szCs w:val="28"/>
          <w:lang w:eastAsia="en-US"/>
        </w:rPr>
      </w:pPr>
      <w:r>
        <w:rPr>
          <w:rFonts w:cs="Times New Roman" w:ascii="Times New Roman" w:hAnsi="Times New Roman"/>
          <w:bCs/>
          <w:color w:val="auto"/>
          <w:sz w:val="28"/>
          <w:szCs w:val="28"/>
          <w:lang w:eastAsia="en-US"/>
        </w:rPr>
        <w:t>+ Bổ sung nguyên tắc việc giao đất, cho thuê đất để thực hiện dự án đầu tư phải căn cứ kết quả đánh giá tiến độ sử dụng đất, tiến độ đầu tư, việc chấp hành pháp luật về đất đai và hiệu quả sử dụng đất của các dự án mà người sử dụng đất đã được Nhà nước giao đất, cho thuê đất.</w:t>
      </w:r>
    </w:p>
    <w:p>
      <w:pPr>
        <w:pStyle w:val="Normal"/>
        <w:spacing w:lineRule="exact" w:line="340" w:before="120" w:after="120"/>
        <w:ind w:firstLine="709"/>
        <w:jc w:val="both"/>
        <w:rPr>
          <w:rFonts w:ascii="Times New Roman" w:hAnsi="Times New Roman" w:cs="Times New Roman"/>
          <w:bCs/>
          <w:color w:val="auto"/>
          <w:sz w:val="28"/>
          <w:szCs w:val="28"/>
          <w:lang w:eastAsia="en-US"/>
        </w:rPr>
      </w:pPr>
      <w:r>
        <w:rPr>
          <w:rFonts w:cs="Times New Roman" w:ascii="Times New Roman" w:hAnsi="Times New Roman"/>
          <w:bCs/>
          <w:color w:val="auto"/>
          <w:sz w:val="28"/>
          <w:szCs w:val="28"/>
          <w:lang w:eastAsia="en-US"/>
        </w:rPr>
        <w:t>+ Hoàn thiện chính sách giao đất, cho thuê đất đối với tổ chức tôn giáo, tổ chức tôn giáo trực thuộc; chính sách đất đai để khuyến khích phát triển nhà ở cho thuê; bảo đảm đồng bộ với pháp luật về nhà ở, kinh doanh bất động sản, đầu tư, xây dựng, tài chính, thuế và quản lý, sử dụng tài sản công.</w:t>
      </w:r>
    </w:p>
    <w:p>
      <w:pPr>
        <w:pStyle w:val="Normal"/>
        <w:spacing w:lineRule="exact" w:line="340" w:before="120" w:after="120"/>
        <w:ind w:firstLine="709"/>
        <w:jc w:val="both"/>
        <w:rPr>
          <w:rFonts w:ascii="Times New Roman" w:hAnsi="Times New Roman" w:cs="Times New Roman"/>
          <w:bCs/>
          <w:color w:val="auto"/>
          <w:sz w:val="28"/>
          <w:szCs w:val="28"/>
          <w:lang w:eastAsia="en-US"/>
        </w:rPr>
      </w:pPr>
      <w:r>
        <w:rPr>
          <w:rFonts w:cs="Times New Roman" w:ascii="Times New Roman" w:hAnsi="Times New Roman"/>
          <w:bCs/>
          <w:color w:val="auto"/>
          <w:sz w:val="28"/>
          <w:szCs w:val="28"/>
          <w:lang w:eastAsia="en-US"/>
        </w:rPr>
        <w:t>+ Hoàn thiện các trường hợp chuyển mục đích sử dụng đất phải được cơ quan nhà nước có thẩm quyền cho phép; tăng cường kiểm soát việc chuyển mục đích sử dụng đất trồng lúa, đất lâm nghiệp và các loại đất cần bảo vệ nghiêm ngặt. Làm rõ căn cứ chuyển mục đích sử dụng đất đối với trường hợp không phải xin phép. Phân định thẩm quyền chuyển mục đích sử dụng đất theo đối tượng sử dụng đất tương ứng với thẩm quyền giao đất, cho thuê đất; đồng thời cho phép cấp tỉnh căn cứ vào năng lực của chính quyền cấp xã và tình hình thực tế của địa phương để phân cấp một số trường hợp phù hợp.</w:t>
      </w:r>
    </w:p>
    <w:p>
      <w:pPr>
        <w:pStyle w:val="Normal"/>
        <w:spacing w:lineRule="exact" w:line="340" w:before="120" w:after="120"/>
        <w:ind w:firstLine="709"/>
        <w:jc w:val="both"/>
        <w:rPr>
          <w:rFonts w:ascii="Times New Roman" w:hAnsi="Times New Roman" w:cs="Times New Roman"/>
          <w:bCs/>
          <w:color w:val="auto"/>
          <w:sz w:val="28"/>
          <w:szCs w:val="28"/>
          <w:lang w:eastAsia="en-US"/>
        </w:rPr>
      </w:pPr>
      <w:r>
        <w:rPr>
          <w:rFonts w:cs="Times New Roman" w:ascii="Times New Roman" w:hAnsi="Times New Roman"/>
          <w:bCs/>
          <w:color w:val="auto"/>
          <w:sz w:val="28"/>
          <w:szCs w:val="28"/>
          <w:lang w:eastAsia="en-US"/>
        </w:rPr>
        <w:t>+ Quy định cơ chế cho thuê đất ngắn hạn đối với quỹ đất do cơ quan, tổ chức của Nhà nước quản lý; xác định rõ phạm vi quỹ đất, thời hạn thuê, phương thức lựa chọn bên thuê, giá thuê, mục đích sử dụng, trách nhiệm quản lý và chấm dứt hợp đồng khi Nhà nước đưa đất vào sử dụng theo quy hoạch, kế hoạch sử dụng đất.</w:t>
      </w:r>
    </w:p>
    <w:p>
      <w:pPr>
        <w:pStyle w:val="Normal"/>
        <w:spacing w:lineRule="exact" w:line="340" w:before="120" w:after="120"/>
        <w:ind w:firstLine="709"/>
        <w:jc w:val="both"/>
        <w:rPr>
          <w:rFonts w:ascii="Times New Roman" w:hAnsi="Times New Roman" w:cs="Times New Roman"/>
          <w:bCs/>
          <w:color w:val="auto"/>
          <w:sz w:val="28"/>
          <w:szCs w:val="28"/>
          <w:lang w:eastAsia="en-US"/>
        </w:rPr>
      </w:pPr>
      <w:r>
        <w:rPr>
          <w:rFonts w:cs="Times New Roman" w:ascii="Times New Roman" w:hAnsi="Times New Roman"/>
          <w:bCs/>
          <w:color w:val="auto"/>
          <w:sz w:val="28"/>
          <w:szCs w:val="28"/>
          <w:lang w:eastAsia="en-US"/>
        </w:rPr>
        <w:t>+ Luật quy định các nguyên tắc, trường hợp áp dụng và nội dung cơ bản; giao Chính phủ quy định chi tiết điều kiện, tiêu chí, hồ sơ, trình tự, thủ tục đấu giá quyền sử dụng đất, đấu thầu lựa chọn nhà đầu tư thực hiện dự án có sử dụng đất, giao đất, cho thuê đất, chuyển hình thức sử dụng đất và cho phép chuyển mục đích sử dụng đất.</w:t>
      </w:r>
    </w:p>
    <w:p>
      <w:pPr>
        <w:pStyle w:val="Normal"/>
        <w:spacing w:lineRule="exact" w:line="340" w:before="120" w:after="120"/>
        <w:ind w:firstLine="709"/>
        <w:jc w:val="both"/>
        <w:rPr>
          <w:rFonts w:ascii="Times New Roman" w:hAnsi="Times New Roman" w:cs="Times New Roman"/>
          <w:color w:val="auto"/>
          <w:sz w:val="28"/>
          <w:szCs w:val="28"/>
          <w:u w:val="single"/>
          <w:lang w:eastAsia="en-US"/>
        </w:rPr>
      </w:pPr>
      <w:r>
        <w:rPr>
          <w:rFonts w:cs="Times New Roman" w:ascii="Times New Roman" w:hAnsi="Times New Roman"/>
          <w:color w:val="auto"/>
          <w:sz w:val="28"/>
          <w:szCs w:val="28"/>
          <w:lang w:eastAsia="en-US"/>
        </w:rPr>
        <w:t xml:space="preserve">- </w:t>
      </w:r>
      <w:r>
        <w:rPr>
          <w:rFonts w:cs="Times New Roman" w:ascii="Times New Roman" w:hAnsi="Times New Roman"/>
          <w:color w:val="auto"/>
          <w:sz w:val="28"/>
          <w:szCs w:val="28"/>
          <w:u w:val="single"/>
          <w:lang w:eastAsia="en-US"/>
        </w:rPr>
        <w:t>Giải pháp 2</w:t>
      </w:r>
      <w:r>
        <w:rPr>
          <w:rFonts w:cs="Times New Roman" w:ascii="Times New Roman" w:hAnsi="Times New Roman"/>
          <w:color w:val="auto"/>
          <w:sz w:val="28"/>
          <w:szCs w:val="28"/>
          <w:lang w:eastAsia="en-US"/>
        </w:rPr>
        <w:t>:</w:t>
      </w:r>
      <w:r>
        <w:rPr>
          <w:color w:val="auto"/>
        </w:rPr>
        <w:t xml:space="preserve"> </w:t>
      </w:r>
      <w:r>
        <w:rPr>
          <w:rFonts w:cs="Times New Roman" w:ascii="Times New Roman" w:hAnsi="Times New Roman"/>
          <w:bCs/>
          <w:color w:val="auto"/>
          <w:sz w:val="28"/>
          <w:szCs w:val="28"/>
          <w:lang w:eastAsia="en-US"/>
        </w:rPr>
        <w:t>Kế thừa cơ bản các quy định hiện hành</w:t>
      </w:r>
    </w:p>
    <w:p>
      <w:pPr>
        <w:pStyle w:val="Normal"/>
        <w:spacing w:lineRule="exact" w:line="340" w:before="120" w:after="120"/>
        <w:ind w:firstLine="709"/>
        <w:jc w:val="both"/>
        <w:rPr>
          <w:rFonts w:ascii="Times New Roman" w:hAnsi="Times New Roman" w:cs="Times New Roman"/>
          <w:color w:val="auto"/>
          <w:sz w:val="28"/>
          <w:szCs w:val="28"/>
          <w:lang w:eastAsia="en-US"/>
        </w:rPr>
      </w:pPr>
      <w:r>
        <w:rPr>
          <w:rFonts w:cs="Times New Roman" w:ascii="Times New Roman" w:hAnsi="Times New Roman"/>
          <w:color w:val="auto"/>
          <w:sz w:val="28"/>
          <w:szCs w:val="28"/>
          <w:lang w:eastAsia="en-US"/>
        </w:rPr>
        <w:t>Rà soát, chỉnh lý tiếp tục quy định tại Luật Đất đai (sửa đổi) các trường hợp nhà nước giao đất không thu tiền sử dụng đất, nhà nước giao đất có thu tiền sử dụng đất, nhà nước cho thuê đất trả tiền thuê đất một lần cho cả thời gian thuê, nhà nước cho thuê đất trả tiền hằng năm, bổ sung hình giao đất, cho thuê đất phù hợp với một số loại hình dự án mới bảo đảm đồng bộ với chính sách tại Luật Nhà ở, Luật Kinh doanh bất động sản, Luật Xây dựng và các luật có liên quan (như nhà ở chính sách, nhà ở cho thuê thuộc sở hữu của nhà nước, nhà ở cho thuê do tổ chức kinh tế đầu tư, khai thác...). Tiếp tục kế thừa cấu trúc của Luật Đất đai năm 2024, quy định tại Luật Đất đai (sửa đổi) điều kiện, trình tự đấu giá, đấu thầu, giao đất, cho thuê đất... Không bổ sung đấu giá quyền sử dụng đất đối với trường hợp Nhà nước cho thuê đất thu tiền thuê đất hằng năm mà yêu cầu các trường hợp đấu giá quyền sử dụng đất bắt buộc phải áp dụng hình thức Nhà nước cho thuê đất thu tiền thuê đất một lần cho cả thời gian thuê như quy định tại Nghị quyết số 254/2025/QH15.</w:t>
      </w:r>
    </w:p>
    <w:p>
      <w:pPr>
        <w:pStyle w:val="Heading3"/>
        <w:spacing w:lineRule="exact" w:line="340" w:before="120" w:after="120"/>
        <w:ind w:firstLine="709"/>
        <w:rPr>
          <w:rFonts w:ascii="Times New Roman" w:hAnsi="Times New Roman" w:cs="Times New Roman"/>
          <w:i/>
          <w:iCs/>
          <w:color w:val="auto"/>
          <w:sz w:val="28"/>
          <w:lang w:eastAsia="en-US"/>
        </w:rPr>
      </w:pPr>
      <w:r>
        <w:rPr>
          <w:rFonts w:cs="Times New Roman" w:ascii="Times New Roman" w:hAnsi="Times New Roman"/>
          <w:i/>
          <w:iCs/>
          <w:color w:val="auto"/>
          <w:sz w:val="28"/>
          <w:lang w:eastAsia="en-US"/>
        </w:rPr>
        <w:t xml:space="preserve">d) Giải pháp tối ưu được lựa chọn và lý do lựa chọn: </w:t>
      </w:r>
    </w:p>
    <w:p>
      <w:pPr>
        <w:pStyle w:val="Normal"/>
        <w:spacing w:lineRule="exact" w:line="340" w:before="120" w:after="120"/>
        <w:ind w:firstLine="709"/>
        <w:jc w:val="both"/>
        <w:rPr>
          <w:rFonts w:ascii="Times New Roman" w:hAnsi="Times New Roman" w:cs="Times New Roman"/>
          <w:b/>
          <w:i/>
          <w:color w:val="auto"/>
          <w:sz w:val="28"/>
          <w:szCs w:val="28"/>
        </w:rPr>
      </w:pPr>
      <w:r>
        <w:rPr>
          <w:rFonts w:cs="Times New Roman" w:ascii="Times New Roman" w:hAnsi="Times New Roman"/>
          <w:bCs/>
          <w:color w:val="auto"/>
          <w:sz w:val="28"/>
          <w:szCs w:val="28"/>
          <w:lang w:eastAsia="en-US"/>
        </w:rPr>
        <w:t>Trên cơ sở phân tích, đánh giá tác động của các giải pháp, Bộ Nông nghiệp và Môi trường kiến nghị lựa chọn Giải pháp 01 nhằm bảo đảm sự thống nhất, đồng bộ của hệ thống pháp luật, phù hợp với chủ trương đổi mới công tác xây dựng pháp luật theo hướng Luật chỉ quy định những vấn đề có tính nguyên tắc, khung, ổn định, còn các nội dung kỹ thuật, điều kiện, trình tự, thủ tục giao Chính phủ quy định chi tiết để bảo đảm tính linh hoạt, đáp ứng yêu cầu quản lý nhà nước trong từng thời kỳ. Đồng thời, việc cho phép người sử dụng đất linh hoạt lựa chọn hình thức trả tiền thuê đất và chuyển đổi hình thức thuê đất trong quá trình sử dụng sẽ tạo điều kiện thuận lợi cho hoạt động đầu tư, sản xuất, kinh doanh, phù hợp với nhu cầu và năng lực tài chính của người sử dụng đất. Bên cạnh đó, bổ sung hình thức đấu giá quyền sử dụng đất đối với trường hợp Nhà nước cho thuê đất trả tiền thuê đất hằng năm sẽ mở rộng phương thức tiếp cận đất đai theo cơ chế thị trường, bảo đảm công khai, minh bạch, cạnh tranh bình đẳng giữa các nhà đầu tư, nâng cao hiệu quả khai thác nguồn lực đất đai, đồng thời tăng nguồn thu ổn định, bền vững cho ngân sách nhà nước</w:t>
      </w:r>
      <w:r>
        <w:rPr>
          <w:rFonts w:cs="Times New Roman" w:ascii="Times New Roman" w:hAnsi="Times New Roman"/>
          <w:color w:val="auto"/>
          <w:sz w:val="28"/>
          <w:szCs w:val="28"/>
          <w:lang w:eastAsia="en-US"/>
        </w:rPr>
        <w:t>.</w:t>
      </w:r>
    </w:p>
    <w:p>
      <w:pPr>
        <w:pStyle w:val="Normal"/>
        <w:numPr>
          <w:ilvl w:val="0"/>
          <w:numId w:val="0"/>
        </w:numPr>
        <w:spacing w:lineRule="exact" w:line="340" w:before="120" w:after="120"/>
        <w:ind w:firstLine="709"/>
        <w:jc w:val="both"/>
        <w:outlineLvl w:val="1"/>
        <w:rPr>
          <w:rFonts w:ascii="Times New Roman" w:hAnsi="Times New Roman" w:cs="Times New Roman"/>
          <w:b/>
          <w:bCs/>
          <w:i/>
          <w:color w:val="auto"/>
          <w:sz w:val="28"/>
          <w:szCs w:val="28"/>
        </w:rPr>
      </w:pPr>
      <w:r>
        <w:rPr>
          <w:rFonts w:cs="Times New Roman" w:ascii="Times New Roman" w:hAnsi="Times New Roman"/>
          <w:b/>
          <w:bCs/>
          <w:i/>
          <w:color w:val="auto"/>
          <w:sz w:val="28"/>
          <w:szCs w:val="28"/>
        </w:rPr>
        <w:t xml:space="preserve">3. Chính sách 3: Hoàn thiện quy định về bồi thường, hỗ trợ, tái định cư, </w:t>
      </w:r>
      <w:r>
        <w:rPr>
          <w:rFonts w:eastAsia="等线 Light" w:cs="Times New Roman" w:ascii="Times New Roman" w:hAnsi="Times New Roman" w:eastAsiaTheme="majorEastAsia"/>
          <w:b/>
          <w:bCs/>
          <w:i/>
          <w:color w:val="auto"/>
          <w:sz w:val="28"/>
          <w:szCs w:val="28"/>
        </w:rPr>
        <w:t>thu hồi đất vì mục đích quốc phòng, an ninh; phát triển kinh tế - xã hội vì lợi</w:t>
      </w:r>
      <w:r>
        <w:rPr>
          <w:rFonts w:cs="Times New Roman" w:ascii="Times New Roman" w:hAnsi="Times New Roman"/>
          <w:b/>
          <w:bCs/>
          <w:i/>
          <w:color w:val="auto"/>
          <w:sz w:val="28"/>
          <w:szCs w:val="28"/>
        </w:rPr>
        <w:t xml:space="preserve"> ích quốc gia, công cộng </w:t>
      </w:r>
    </w:p>
    <w:p>
      <w:pPr>
        <w:pStyle w:val="Heading3"/>
        <w:spacing w:lineRule="exact" w:line="340" w:before="120" w:after="120"/>
        <w:ind w:firstLine="709"/>
        <w:rPr>
          <w:rFonts w:ascii="Times New Roman" w:hAnsi="Times New Roman" w:cs="Times New Roman"/>
          <w:i/>
          <w:iCs/>
          <w:color w:val="auto"/>
          <w:sz w:val="28"/>
          <w:lang w:eastAsia="en-US"/>
        </w:rPr>
      </w:pPr>
      <w:r>
        <w:rPr>
          <w:rFonts w:cs="Times New Roman" w:ascii="Times New Roman" w:hAnsi="Times New Roman"/>
          <w:i/>
          <w:iCs/>
          <w:color w:val="auto"/>
          <w:sz w:val="28"/>
          <w:lang w:eastAsia="en-US"/>
        </w:rPr>
        <w:t>a) Mục tiêu của chính sách:</w:t>
      </w:r>
    </w:p>
    <w:p>
      <w:pPr>
        <w:pStyle w:val="Normal"/>
        <w:spacing w:lineRule="exact" w:line="340" w:before="120" w:after="120"/>
        <w:ind w:firstLine="709"/>
        <w:jc w:val="both"/>
        <w:rPr>
          <w:rFonts w:ascii="Times New Roman" w:hAnsi="Times New Roman" w:cs="Times New Roman"/>
          <w:bCs/>
          <w:color w:val="auto"/>
          <w:sz w:val="28"/>
          <w:szCs w:val="28"/>
          <w:lang w:val="pl-PL" w:eastAsia="en-US"/>
        </w:rPr>
      </w:pPr>
      <w:r>
        <w:rPr>
          <w:rFonts w:cs="Times New Roman" w:ascii="Times New Roman" w:hAnsi="Times New Roman"/>
          <w:bCs/>
          <w:color w:val="auto"/>
          <w:sz w:val="28"/>
          <w:szCs w:val="28"/>
          <w:lang w:val="pl-PL" w:eastAsia="en-US"/>
        </w:rPr>
        <w:t>- Nguồn lực đất đai được quản lý, khai thác, sử dụng bảo đảm tiết kiệm, bền vững, hiệu quả cao nhất; đáp ứng yêu cầu đẩy mạnh công nghiệp hóa, hiện đại hóa công bằng và ổn định xã hội.</w:t>
      </w:r>
    </w:p>
    <w:p>
      <w:pPr>
        <w:pStyle w:val="Normal"/>
        <w:spacing w:lineRule="exact" w:line="340" w:before="120" w:after="120"/>
        <w:ind w:firstLine="709"/>
        <w:jc w:val="both"/>
        <w:rPr>
          <w:rFonts w:ascii="Times New Roman" w:hAnsi="Times New Roman" w:cs="Times New Roman"/>
          <w:bCs/>
          <w:color w:val="auto"/>
          <w:sz w:val="28"/>
          <w:szCs w:val="28"/>
          <w:lang w:val="pl-PL" w:eastAsia="en-US"/>
        </w:rPr>
      </w:pPr>
      <w:r>
        <w:rPr>
          <w:rFonts w:cs="Times New Roman" w:ascii="Times New Roman" w:hAnsi="Times New Roman"/>
          <w:bCs/>
          <w:color w:val="auto"/>
          <w:sz w:val="28"/>
          <w:szCs w:val="28"/>
          <w:lang w:val="pl-PL" w:eastAsia="en-US"/>
        </w:rPr>
        <w:t>- Bảo đảm hài hoà lợi ích, giảm khiếu kiện, ổn định đời sống người có đất thu hồi và đẩy nhanh tiến độ triển khai dự án, đồng thời phòng ngừa trục lợi chính sách trong thực hiện thu hồi đất, bồi thường, hỗ trợ tái định cư.</w:t>
      </w:r>
    </w:p>
    <w:p>
      <w:pPr>
        <w:pStyle w:val="Heading3"/>
        <w:spacing w:lineRule="exact" w:line="340" w:before="120" w:after="120"/>
        <w:ind w:firstLine="709"/>
        <w:rPr>
          <w:rFonts w:ascii="Times New Roman" w:hAnsi="Times New Roman" w:cs="Times New Roman"/>
          <w:i/>
          <w:iCs/>
          <w:color w:val="auto"/>
          <w:sz w:val="28"/>
          <w:lang w:val="pl-PL" w:eastAsia="en-US"/>
        </w:rPr>
      </w:pPr>
      <w:r>
        <w:rPr>
          <w:rFonts w:cs="Times New Roman" w:ascii="Times New Roman" w:hAnsi="Times New Roman"/>
          <w:i/>
          <w:iCs/>
          <w:color w:val="auto"/>
          <w:sz w:val="28"/>
          <w:lang w:val="pl-PL" w:eastAsia="en-US"/>
        </w:rPr>
        <w:t xml:space="preserve">b) Nội dung của chính sách: </w:t>
      </w:r>
    </w:p>
    <w:p>
      <w:pPr>
        <w:pStyle w:val="Normal"/>
        <w:spacing w:lineRule="exact" w:line="340" w:before="120" w:after="120"/>
        <w:ind w:firstLine="709"/>
        <w:jc w:val="both"/>
        <w:rPr>
          <w:rFonts w:ascii="Times New Roman" w:hAnsi="Times New Roman" w:cs="Times New Roman"/>
          <w:iCs/>
          <w:color w:val="auto"/>
          <w:sz w:val="28"/>
          <w:szCs w:val="28"/>
          <w:lang w:val="pl-PL" w:eastAsia="en-US"/>
        </w:rPr>
      </w:pPr>
      <w:r>
        <w:rPr>
          <w:rFonts w:cs="Times New Roman" w:ascii="Times New Roman" w:hAnsi="Times New Roman"/>
          <w:iCs/>
          <w:color w:val="auto"/>
          <w:sz w:val="28"/>
          <w:szCs w:val="28"/>
          <w:lang w:val="pl-PL" w:eastAsia="en-US"/>
        </w:rPr>
        <w:t>- Bổ sung quy định rõ hơn tiêu chí dự án, phạm vi thu hồi đất phát triển kinh tế - xã hội vì lợi ích quốc gia, công cộng; bổ sung một số trường hợp Nhà nước thu hồi đất phát triển kinh tế - xã hội vì lợi ích quốc gia, công cộng trong trường hợp thật cần thiết để đáp ứng yêu cầu phát triển về hạ tầng, kinh tế - xã hội.</w:t>
      </w:r>
    </w:p>
    <w:p>
      <w:pPr>
        <w:pStyle w:val="Normal"/>
        <w:spacing w:lineRule="exact" w:line="340" w:before="120" w:after="120"/>
        <w:ind w:firstLine="709"/>
        <w:jc w:val="both"/>
        <w:rPr>
          <w:rFonts w:ascii="Times New Roman" w:hAnsi="Times New Roman" w:cs="Times New Roman"/>
          <w:iCs/>
          <w:color w:val="auto"/>
          <w:sz w:val="28"/>
          <w:szCs w:val="28"/>
          <w:lang w:val="pl-PL" w:eastAsia="en-US"/>
        </w:rPr>
      </w:pPr>
      <w:r>
        <w:rPr>
          <w:rFonts w:cs="Times New Roman" w:ascii="Times New Roman" w:hAnsi="Times New Roman"/>
          <w:iCs/>
          <w:color w:val="auto"/>
          <w:sz w:val="28"/>
          <w:szCs w:val="28"/>
          <w:lang w:val="pl-PL" w:eastAsia="en-US"/>
        </w:rPr>
        <w:t>- Bổ sung quy định về việc bồi thường, hỗ trợ, tái định đối với người sử dụng đất là người đã nhận chuyển quyền sử dụng đất trong thời gian thực hiện thông báo thu hồi đất để phòng ngừa trục lợi chính sách, đầu cơ bồi thường, xây dựng trái phép sau khi có thông báo thu hồi đất.</w:t>
      </w:r>
    </w:p>
    <w:p>
      <w:pPr>
        <w:pStyle w:val="Normal"/>
        <w:spacing w:lineRule="exact" w:line="340" w:before="120" w:after="120"/>
        <w:ind w:firstLine="709"/>
        <w:jc w:val="both"/>
        <w:rPr>
          <w:rFonts w:ascii="Times New Roman" w:hAnsi="Times New Roman" w:cs="Times New Roman"/>
          <w:color w:val="auto"/>
          <w:spacing w:val="-2"/>
          <w:sz w:val="28"/>
          <w:szCs w:val="28"/>
          <w:lang w:val="pl-PL" w:eastAsia="en-US"/>
        </w:rPr>
      </w:pPr>
      <w:r>
        <w:rPr>
          <w:rFonts w:cs="Times New Roman" w:ascii="Times New Roman" w:hAnsi="Times New Roman"/>
          <w:color w:val="auto"/>
          <w:spacing w:val="-2"/>
          <w:sz w:val="28"/>
          <w:szCs w:val="28"/>
          <w:lang w:val="pl-PL" w:eastAsia="en-US"/>
        </w:rPr>
        <w:t>- Hoàn thiện quy định về trình tự, thủ tục thu hồi đất vì mục đích quốc phòng, an ninh, phát triển kinh tế - xã hội vì lợi ích quốc gia, công cộng theo hướng không quy định cứng là việc thu hồi đất chỉ thực hiện sau khi đã phê duyệt phương án bồi thường, hỗ trợ, tái định cư và hoàn thành bố trí tái định cư; không quy định trình tự, thủ tục thu hồi đất trong Luật Đất đai.</w:t>
      </w:r>
    </w:p>
    <w:p>
      <w:pPr>
        <w:pStyle w:val="Normal"/>
        <w:spacing w:lineRule="exact" w:line="340" w:before="120" w:after="120"/>
        <w:ind w:firstLine="709"/>
        <w:jc w:val="both"/>
        <w:rPr>
          <w:rFonts w:ascii="Times New Roman" w:hAnsi="Times New Roman" w:cs="Times New Roman"/>
          <w:color w:val="auto"/>
          <w:spacing w:val="-2"/>
          <w:sz w:val="28"/>
          <w:szCs w:val="28"/>
          <w:lang w:val="pl-PL" w:eastAsia="en-US"/>
        </w:rPr>
      </w:pPr>
      <w:r>
        <w:rPr>
          <w:rFonts w:cs="Times New Roman" w:ascii="Times New Roman" w:hAnsi="Times New Roman"/>
          <w:color w:val="auto"/>
          <w:spacing w:val="-2"/>
          <w:sz w:val="28"/>
          <w:szCs w:val="28"/>
          <w:lang w:val="zu-ZA" w:eastAsia="en-US"/>
        </w:rPr>
        <w:t xml:space="preserve">- Luật </w:t>
      </w:r>
      <w:r>
        <w:rPr>
          <w:rFonts w:cs="Times New Roman" w:ascii="Times New Roman" w:hAnsi="Times New Roman"/>
          <w:color w:val="auto"/>
          <w:spacing w:val="-2"/>
          <w:sz w:val="28"/>
          <w:szCs w:val="28"/>
          <w:lang w:eastAsia="en-US"/>
        </w:rPr>
        <w:t xml:space="preserve">hóa </w:t>
      </w:r>
      <w:r>
        <w:rPr>
          <w:rFonts w:eastAsia="Microsoft Sans Serif" w:cs="Times New Roman" w:ascii="Times New Roman" w:hAnsi="Times New Roman"/>
          <w:iCs/>
          <w:color w:val="auto"/>
          <w:sz w:val="28"/>
          <w:szCs w:val="28"/>
          <w:lang w:val="pl-PL"/>
        </w:rPr>
        <w:t xml:space="preserve">quan điểm </w:t>
      </w:r>
      <w:r>
        <w:rPr>
          <w:rFonts w:eastAsia="Microsoft Sans Serif" w:cs="Times New Roman" w:ascii="Times New Roman" w:hAnsi="Times New Roman"/>
          <w:i/>
          <w:color w:val="auto"/>
          <w:sz w:val="28"/>
          <w:szCs w:val="28"/>
          <w:lang w:val="pl-PL"/>
        </w:rPr>
        <w:t>chuyển mạnh từ tư duy “bồi thường tài sản bị thu hồi”</w:t>
      </w:r>
      <w:r>
        <w:rPr>
          <w:rFonts w:eastAsia="Microsoft Sans Serif" w:cs="Times New Roman" w:ascii="Times New Roman" w:hAnsi="Times New Roman"/>
          <w:iCs/>
          <w:color w:val="auto"/>
          <w:sz w:val="28"/>
          <w:szCs w:val="28"/>
          <w:lang w:val="pl-PL"/>
        </w:rPr>
        <w:t xml:space="preserve"> sang tư duy “</w:t>
      </w:r>
      <w:r>
        <w:rPr>
          <w:rFonts w:eastAsia="Microsoft Sans Serif" w:cs="Times New Roman" w:ascii="Times New Roman" w:hAnsi="Times New Roman"/>
          <w:i/>
          <w:color w:val="auto"/>
          <w:sz w:val="28"/>
          <w:szCs w:val="28"/>
          <w:lang w:val="pl-PL"/>
        </w:rPr>
        <w:t>tái thiết cuộc sống cho người dân khi Nhà nước thu hồi đất”</w:t>
      </w:r>
      <w:r>
        <w:rPr>
          <w:rFonts w:eastAsia="Microsoft Sans Serif" w:cs="Times New Roman" w:ascii="Times New Roman" w:hAnsi="Times New Roman"/>
          <w:iCs/>
          <w:color w:val="auto"/>
          <w:sz w:val="28"/>
          <w:szCs w:val="28"/>
          <w:lang w:val="pl-PL"/>
        </w:rPr>
        <w:t xml:space="preserve"> </w:t>
      </w:r>
      <w:r>
        <w:rPr>
          <w:rFonts w:eastAsia="Microsoft Sans Serif" w:cs="Times New Roman" w:ascii="Times New Roman" w:hAnsi="Times New Roman"/>
          <w:iCs/>
          <w:color w:val="auto"/>
          <w:sz w:val="28"/>
          <w:szCs w:val="28"/>
        </w:rPr>
        <w:t xml:space="preserve">bằng các </w:t>
      </w:r>
      <w:r>
        <w:rPr>
          <w:rFonts w:eastAsia="Microsoft Sans Serif" w:cs="Times New Roman" w:ascii="Times New Roman" w:hAnsi="Times New Roman"/>
          <w:iCs/>
          <w:color w:val="auto"/>
          <w:sz w:val="28"/>
          <w:szCs w:val="28"/>
          <w:lang w:val="pl-PL"/>
        </w:rPr>
        <w:t>quy định về</w:t>
      </w:r>
      <w:r>
        <w:rPr>
          <w:rFonts w:cs="Times New Roman" w:ascii="Times New Roman" w:hAnsi="Times New Roman"/>
          <w:color w:val="auto"/>
          <w:spacing w:val="-2"/>
          <w:sz w:val="28"/>
          <w:szCs w:val="28"/>
          <w:lang w:eastAsia="en-US"/>
        </w:rPr>
        <w:t xml:space="preserve"> kiểm tra chỗ ở, hạ tầng</w:t>
      </w:r>
      <w:r>
        <w:rPr>
          <w:rFonts w:cs="Times New Roman" w:ascii="Times New Roman" w:hAnsi="Times New Roman"/>
          <w:color w:val="auto"/>
          <w:spacing w:val="-2"/>
          <w:sz w:val="28"/>
          <w:szCs w:val="28"/>
          <w:lang w:val="pl-PL" w:eastAsia="en-US"/>
        </w:rPr>
        <w:t xml:space="preserve"> tái định cư (</w:t>
      </w:r>
      <w:r>
        <w:rPr>
          <w:rFonts w:cs="Times New Roman" w:ascii="Times New Roman" w:hAnsi="Times New Roman"/>
          <w:color w:val="auto"/>
          <w:spacing w:val="-2"/>
          <w:sz w:val="28"/>
          <w:szCs w:val="28"/>
          <w:lang w:eastAsia="en-US"/>
        </w:rPr>
        <w:t>trường học, y tế, giao thông, dịch vụ công</w:t>
      </w:r>
      <w:r>
        <w:rPr>
          <w:rFonts w:cs="Times New Roman" w:ascii="Times New Roman" w:hAnsi="Times New Roman"/>
          <w:color w:val="auto"/>
          <w:spacing w:val="-2"/>
          <w:sz w:val="28"/>
          <w:szCs w:val="28"/>
          <w:lang w:val="pl-PL" w:eastAsia="en-US"/>
        </w:rPr>
        <w:t>…)</w:t>
      </w:r>
      <w:r>
        <w:rPr>
          <w:rFonts w:cs="Times New Roman" w:ascii="Times New Roman" w:hAnsi="Times New Roman"/>
          <w:color w:val="auto"/>
          <w:spacing w:val="-2"/>
          <w:sz w:val="28"/>
          <w:szCs w:val="28"/>
          <w:lang w:eastAsia="en-US"/>
        </w:rPr>
        <w:t xml:space="preserve">, sinh kế, việc làm, thu nhập và </w:t>
      </w:r>
      <w:r>
        <w:rPr>
          <w:rFonts w:cs="Times New Roman" w:ascii="Times New Roman" w:hAnsi="Times New Roman"/>
          <w:color w:val="auto"/>
          <w:spacing w:val="-2"/>
          <w:sz w:val="28"/>
          <w:szCs w:val="28"/>
          <w:lang w:val="pl-PL" w:eastAsia="en-US"/>
        </w:rPr>
        <w:t>xem xét</w:t>
      </w:r>
      <w:r>
        <w:rPr>
          <w:rFonts w:cs="Times New Roman" w:ascii="Times New Roman" w:hAnsi="Times New Roman"/>
          <w:color w:val="auto"/>
          <w:spacing w:val="-2"/>
          <w:sz w:val="28"/>
          <w:szCs w:val="28"/>
          <w:lang w:eastAsia="en-US"/>
        </w:rPr>
        <w:t xml:space="preserve"> sự hài lòng của người dân.</w:t>
      </w:r>
    </w:p>
    <w:p>
      <w:pPr>
        <w:pStyle w:val="Normal"/>
        <w:spacing w:lineRule="exact" w:line="340" w:before="120" w:after="120"/>
        <w:ind w:firstLine="709"/>
        <w:jc w:val="both"/>
        <w:rPr>
          <w:rFonts w:ascii="Times New Roman" w:hAnsi="Times New Roman" w:cs="Times New Roman"/>
          <w:color w:val="auto"/>
          <w:spacing w:val="-2"/>
          <w:sz w:val="28"/>
          <w:szCs w:val="28"/>
          <w:lang w:val="pl-PL" w:eastAsia="en-US"/>
        </w:rPr>
      </w:pPr>
      <w:r>
        <w:rPr>
          <w:rFonts w:cs="Times New Roman" w:ascii="Times New Roman" w:hAnsi="Times New Roman"/>
          <w:color w:val="auto"/>
          <w:spacing w:val="-4"/>
          <w:sz w:val="28"/>
          <w:szCs w:val="28"/>
          <w:lang w:val="pl-PL" w:eastAsia="en-US"/>
        </w:rPr>
        <w:t>- Bổ sung trường hợp thu hồi đất đối với phần diện tích còn lại của thửa đất sau thu hồi mà không đủ điều kiện để sử dụng và người sử dụng đất đề nghị thu hồi</w:t>
      </w:r>
      <w:r>
        <w:rPr>
          <w:rFonts w:cs="Times New Roman" w:ascii="Times New Roman" w:hAnsi="Times New Roman"/>
          <w:color w:val="auto"/>
          <w:spacing w:val="-2"/>
          <w:sz w:val="28"/>
          <w:szCs w:val="28"/>
          <w:lang w:val="pl-PL" w:eastAsia="en-US"/>
        </w:rPr>
        <w:t>.</w:t>
      </w:r>
    </w:p>
    <w:p>
      <w:pPr>
        <w:pStyle w:val="Normal"/>
        <w:spacing w:lineRule="exact" w:line="340" w:before="120" w:after="120"/>
        <w:ind w:firstLine="709"/>
        <w:jc w:val="both"/>
        <w:rPr>
          <w:rFonts w:ascii="Times New Roman" w:hAnsi="Times New Roman" w:cs="Times New Roman"/>
          <w:color w:val="auto"/>
          <w:spacing w:val="-2"/>
          <w:sz w:val="28"/>
          <w:szCs w:val="28"/>
          <w:lang w:val="pl-PL" w:eastAsia="en-US"/>
        </w:rPr>
      </w:pPr>
      <w:r>
        <w:rPr>
          <w:rFonts w:cs="Times New Roman" w:ascii="Times New Roman" w:hAnsi="Times New Roman"/>
          <w:color w:val="auto"/>
          <w:spacing w:val="-2"/>
          <w:sz w:val="28"/>
          <w:szCs w:val="28"/>
          <w:lang w:val="pl-PL" w:eastAsia="en-US"/>
        </w:rPr>
        <w:t xml:space="preserve">- Giao chính quyền địa phương được quyết định chính sách hỗ trợ khác phù hợp đặc điểm của địa phương và đặc thù của dự án. </w:t>
      </w:r>
    </w:p>
    <w:p>
      <w:pPr>
        <w:pStyle w:val="Normal"/>
        <w:spacing w:lineRule="exact" w:line="340" w:before="120" w:after="120"/>
        <w:ind w:firstLine="709"/>
        <w:jc w:val="both"/>
        <w:rPr>
          <w:rFonts w:ascii="Times New Roman" w:hAnsi="Times New Roman" w:cs="Times New Roman"/>
          <w:color w:val="auto"/>
          <w:spacing w:val="-2"/>
          <w:sz w:val="28"/>
          <w:szCs w:val="28"/>
          <w:lang w:val="pl-PL" w:eastAsia="en-US"/>
        </w:rPr>
      </w:pPr>
      <w:r>
        <w:rPr>
          <w:rFonts w:cs="Times New Roman" w:ascii="Times New Roman" w:hAnsi="Times New Roman"/>
          <w:color w:val="auto"/>
          <w:spacing w:val="-2"/>
          <w:sz w:val="28"/>
          <w:szCs w:val="28"/>
          <w:lang w:val="pl-PL" w:eastAsia="en-US"/>
        </w:rPr>
        <w:t>- Sửa đổi, bổ sung căn cứ thu hồi đất vì mục đích quốc phòng, an ninh; phát triển kinh tế - xã hội vì lợi ích quốc gia, công cộng theo kế hoạch sử dụng đất cấp xã, trừ các dự án đã được quyết định chủ trương đầu tư, quyết định đầu tư của Quốc hội, Chính phủ, Bộ, ngành, Hội đồng nhân dân cấp tỉnh.</w:t>
      </w:r>
    </w:p>
    <w:p>
      <w:pPr>
        <w:pStyle w:val="Normal"/>
        <w:spacing w:lineRule="exact" w:line="340" w:before="120" w:after="120"/>
        <w:ind w:firstLine="709"/>
        <w:jc w:val="both"/>
        <w:rPr>
          <w:rFonts w:ascii="Times New Roman" w:hAnsi="Times New Roman" w:cs="Times New Roman"/>
          <w:color w:val="auto"/>
          <w:spacing w:val="-2"/>
          <w:sz w:val="28"/>
          <w:szCs w:val="28"/>
          <w:lang w:val="pl-PL" w:eastAsia="en-US"/>
        </w:rPr>
      </w:pPr>
      <w:r>
        <w:rPr>
          <w:rFonts w:cs="Times New Roman" w:ascii="Times New Roman" w:hAnsi="Times New Roman"/>
          <w:color w:val="auto"/>
          <w:spacing w:val="-2"/>
          <w:sz w:val="28"/>
          <w:szCs w:val="28"/>
          <w:lang w:val="pl-PL" w:eastAsia="en-US"/>
        </w:rPr>
        <w:t>- Không quy định việc hỗ trợ đào tạo, chuyển đổi nghề và tìm kiếm việc làm trong dự thảo Luật Đất đai mà giao Chính phủ quy định.</w:t>
      </w:r>
    </w:p>
    <w:p>
      <w:pPr>
        <w:pStyle w:val="Heading3"/>
        <w:spacing w:lineRule="exact" w:line="340" w:before="120" w:after="120"/>
        <w:ind w:firstLine="709"/>
        <w:jc w:val="both"/>
        <w:rPr>
          <w:rFonts w:ascii="Times New Roman" w:hAnsi="Times New Roman" w:cs="Times New Roman"/>
          <w:i/>
          <w:iCs/>
          <w:color w:val="auto"/>
          <w:sz w:val="28"/>
          <w:lang w:val="pl-PL" w:eastAsia="en-US"/>
        </w:rPr>
      </w:pPr>
      <w:r>
        <w:rPr>
          <w:rFonts w:cs="Times New Roman" w:ascii="Times New Roman" w:hAnsi="Times New Roman"/>
          <w:i/>
          <w:iCs/>
          <w:color w:val="auto"/>
          <w:sz w:val="28"/>
          <w:lang w:val="pl-PL" w:eastAsia="en-US"/>
        </w:rPr>
        <w:t>c) Các giải pháp thực hiện chính sách:</w:t>
      </w:r>
    </w:p>
    <w:p>
      <w:pPr>
        <w:pStyle w:val="Normal"/>
        <w:spacing w:lineRule="exact" w:line="340" w:before="120" w:after="120"/>
        <w:ind w:firstLine="709"/>
        <w:jc w:val="both"/>
        <w:rPr>
          <w:rFonts w:ascii="Times New Roman" w:hAnsi="Times New Roman" w:cs="Times New Roman"/>
          <w:color w:val="auto"/>
          <w:sz w:val="28"/>
          <w:szCs w:val="28"/>
          <w:u w:val="single"/>
          <w:lang w:val="pl-PL" w:eastAsia="en-US"/>
        </w:rPr>
      </w:pPr>
      <w:r>
        <w:rPr>
          <w:rFonts w:cs="Times New Roman" w:ascii="Times New Roman" w:hAnsi="Times New Roman"/>
          <w:color w:val="auto"/>
          <w:sz w:val="28"/>
          <w:szCs w:val="28"/>
          <w:u w:val="single"/>
          <w:lang w:val="pl-PL" w:eastAsia="en-US"/>
        </w:rPr>
        <w:t xml:space="preserve">- Giải pháp 1: </w:t>
      </w:r>
    </w:p>
    <w:p>
      <w:pPr>
        <w:pStyle w:val="Normal"/>
        <w:spacing w:lineRule="exact" w:line="340" w:before="120" w:after="120"/>
        <w:ind w:firstLine="709"/>
        <w:jc w:val="both"/>
        <w:rPr>
          <w:rFonts w:ascii="Times New Roman" w:hAnsi="Times New Roman" w:cs="Times New Roman"/>
          <w:color w:val="auto"/>
          <w:sz w:val="28"/>
          <w:szCs w:val="28"/>
          <w:lang w:val="pl-PL" w:eastAsia="en-US"/>
        </w:rPr>
      </w:pPr>
      <w:r>
        <w:rPr>
          <w:rFonts w:cs="Times New Roman" w:ascii="Times New Roman" w:hAnsi="Times New Roman"/>
          <w:color w:val="auto"/>
          <w:sz w:val="28"/>
          <w:szCs w:val="28"/>
          <w:lang w:val="pl-PL" w:eastAsia="en-US"/>
        </w:rPr>
        <w:t xml:space="preserve">+ Luật hóa các trường hợp Nhà nước thu hồi đất vì mục đích quốc phòng, an ninh; phát triển kinh tế - xã hội vì lợi ích quốc gia, công cộng đang quy định tại Nghị quyết số 254/2025/QH15. </w:t>
      </w:r>
    </w:p>
    <w:p>
      <w:pPr>
        <w:pStyle w:val="Normal"/>
        <w:spacing w:lineRule="exact" w:line="340" w:before="120" w:after="120"/>
        <w:ind w:firstLine="709"/>
        <w:jc w:val="both"/>
        <w:rPr>
          <w:rFonts w:ascii="Times New Roman" w:hAnsi="Times New Roman" w:cs="Times New Roman"/>
          <w:color w:val="auto"/>
          <w:sz w:val="28"/>
          <w:szCs w:val="28"/>
          <w:lang w:val="pl-PL" w:eastAsia="en-US"/>
        </w:rPr>
      </w:pPr>
      <w:r>
        <w:rPr>
          <w:rFonts w:cs="Times New Roman" w:ascii="Times New Roman" w:hAnsi="Times New Roman"/>
          <w:color w:val="auto"/>
          <w:sz w:val="28"/>
          <w:szCs w:val="28"/>
          <w:lang w:val="pl-PL" w:eastAsia="en-US"/>
        </w:rPr>
        <w:t xml:space="preserve">+ </w:t>
      </w:r>
      <w:r>
        <w:rPr>
          <w:rFonts w:cs="Times New Roman" w:ascii="Times New Roman" w:hAnsi="Times New Roman"/>
          <w:iCs/>
          <w:color w:val="auto"/>
          <w:sz w:val="28"/>
          <w:szCs w:val="28"/>
          <w:lang w:val="pl-PL" w:eastAsia="en-US"/>
        </w:rPr>
        <w:t>Bổ sung quy định rõ hơn tiêu chí dự án, phạm vi thu hồi đất phát triển kinh tế - xã hội vì lợi ích quốc gia, công cộng; b</w:t>
      </w:r>
      <w:r>
        <w:rPr>
          <w:rFonts w:cs="Times New Roman" w:ascii="Times New Roman" w:hAnsi="Times New Roman"/>
          <w:color w:val="auto"/>
          <w:sz w:val="28"/>
          <w:szCs w:val="28"/>
          <w:lang w:val="pl-PL" w:eastAsia="en-US"/>
        </w:rPr>
        <w:t xml:space="preserve">ổ sung các trường hợp Nhà nước thu hồi đất để phát triển kinh tế - xã hội vì lợi ích quốc gia, công cộng so với Luật Đất đai năm 2024 để thực hiện Điều ước quốc tế mà nước Cộng hòa xã hội chủ nghĩa Việt Nam là thành viên, thu hồi đất để thực hiện dự án đầu tư xây dựng nhà ở cho thuê, nhà ở chính sách; thu hồi </w:t>
      </w:r>
      <w:r>
        <w:rPr>
          <w:rFonts w:cs="Times New Roman" w:ascii="Times New Roman" w:hAnsi="Times New Roman"/>
          <w:color w:val="auto"/>
          <w:spacing w:val="-2"/>
          <w:sz w:val="28"/>
          <w:szCs w:val="28"/>
          <w:lang w:val="pl-PL" w:eastAsia="en-US"/>
        </w:rPr>
        <w:t>phần diện tích còn lại của thửa đất sau thu hồi mà không đủ điều kiện để sử dụng và người sử dụng đất đề nghị thu hồi.</w:t>
      </w:r>
    </w:p>
    <w:p>
      <w:pPr>
        <w:pStyle w:val="Normal"/>
        <w:spacing w:lineRule="exact" w:line="340" w:before="120" w:after="120"/>
        <w:ind w:firstLine="709"/>
        <w:jc w:val="both"/>
        <w:rPr>
          <w:rFonts w:ascii="Times New Roman" w:hAnsi="Times New Roman" w:cs="Times New Roman"/>
          <w:color w:val="auto"/>
          <w:sz w:val="28"/>
          <w:szCs w:val="28"/>
          <w:lang w:val="pl-PL" w:eastAsia="en-US"/>
        </w:rPr>
      </w:pPr>
      <w:r>
        <w:rPr>
          <w:rFonts w:cs="Times New Roman" w:ascii="Times New Roman" w:hAnsi="Times New Roman"/>
          <w:color w:val="auto"/>
          <w:sz w:val="28"/>
          <w:szCs w:val="28"/>
          <w:lang w:val="pl-PL" w:eastAsia="en-US"/>
        </w:rPr>
        <w:t xml:space="preserve">+ Bổ sung quy định về </w:t>
      </w:r>
      <w:r>
        <w:rPr>
          <w:rFonts w:cs="Times New Roman" w:ascii="Times New Roman" w:hAnsi="Times New Roman"/>
          <w:iCs/>
          <w:color w:val="auto"/>
          <w:sz w:val="28"/>
          <w:szCs w:val="28"/>
          <w:lang w:val="pl-PL" w:eastAsia="en-US"/>
        </w:rPr>
        <w:t>việc bồi thường, hỗ trợ, tái định cư đối với người sử dụng đất là người đã nhận chuyển quyền sử dụng đất trong thời gian thực hiện thông báo thu hồi đất để phòng ngừa trục lợi chính sách, đầu cơ bồi thường, xây dựng trái phép sau khi có thông báo thu hồi đất</w:t>
      </w:r>
      <w:r>
        <w:rPr>
          <w:rFonts w:cs="Times New Roman" w:ascii="Times New Roman" w:hAnsi="Times New Roman"/>
          <w:color w:val="auto"/>
          <w:sz w:val="28"/>
          <w:szCs w:val="28"/>
          <w:lang w:val="pl-PL" w:eastAsia="en-US"/>
        </w:rPr>
        <w:t>.</w:t>
      </w:r>
    </w:p>
    <w:p>
      <w:pPr>
        <w:pStyle w:val="Normal"/>
        <w:spacing w:lineRule="exact" w:line="340" w:before="120" w:after="120"/>
        <w:ind w:firstLine="709"/>
        <w:jc w:val="both"/>
        <w:rPr>
          <w:rFonts w:ascii="Times New Roman" w:hAnsi="Times New Roman" w:cs="Times New Roman"/>
          <w:color w:val="auto"/>
          <w:sz w:val="28"/>
          <w:szCs w:val="28"/>
          <w:lang w:val="pl-PL" w:eastAsia="en-US"/>
        </w:rPr>
      </w:pPr>
      <w:r>
        <w:rPr>
          <w:rFonts w:cs="Times New Roman" w:ascii="Times New Roman" w:hAnsi="Times New Roman"/>
          <w:color w:val="auto"/>
          <w:sz w:val="28"/>
          <w:szCs w:val="28"/>
          <w:lang w:val="pl-PL" w:eastAsia="en-US"/>
        </w:rPr>
        <w:t xml:space="preserve">+ Sửa đổi, bổ sung quy định về căn cứ thu hồi đất; nguyên tắc </w:t>
      </w:r>
      <w:r>
        <w:rPr>
          <w:rFonts w:cs="Times New Roman" w:ascii="Times New Roman" w:hAnsi="Times New Roman"/>
          <w:iCs/>
          <w:color w:val="auto"/>
          <w:sz w:val="28"/>
          <w:szCs w:val="28"/>
          <w:lang w:val="pl-PL" w:eastAsia="en-US"/>
        </w:rPr>
        <w:t xml:space="preserve">bồi thường, hỗ trợ, tái định cư khi Nhà nước thu hồi đất; </w:t>
      </w:r>
      <w:r>
        <w:rPr>
          <w:rFonts w:cs="Times New Roman" w:ascii="Times New Roman" w:hAnsi="Times New Roman"/>
          <w:color w:val="auto"/>
          <w:sz w:val="28"/>
          <w:szCs w:val="28"/>
          <w:lang w:val="pl-PL" w:eastAsia="en-US"/>
        </w:rPr>
        <w:t xml:space="preserve"> </w:t>
      </w:r>
    </w:p>
    <w:p>
      <w:pPr>
        <w:pStyle w:val="Normal"/>
        <w:spacing w:lineRule="exact" w:line="340" w:before="120" w:after="120"/>
        <w:ind w:firstLine="709"/>
        <w:jc w:val="both"/>
        <w:rPr>
          <w:rFonts w:ascii="Times New Roman" w:hAnsi="Times New Roman" w:cs="Times New Roman"/>
          <w:color w:val="auto"/>
          <w:spacing w:val="-2"/>
          <w:sz w:val="28"/>
          <w:szCs w:val="28"/>
          <w:lang w:val="pl-PL" w:eastAsia="en-US"/>
        </w:rPr>
      </w:pPr>
      <w:r>
        <w:rPr>
          <w:rFonts w:cs="Times New Roman" w:ascii="Times New Roman" w:hAnsi="Times New Roman"/>
          <w:color w:val="auto"/>
          <w:spacing w:val="-2"/>
          <w:sz w:val="28"/>
          <w:szCs w:val="28"/>
          <w:lang w:val="pl-PL" w:eastAsia="en-US"/>
        </w:rPr>
        <w:t>+ Quy định giao chính quyền địa phương được quyết định chính sách hỗ trợ khác phù hợp đặc điểm của địa phương và đặc thù của dự án.</w:t>
      </w:r>
    </w:p>
    <w:p>
      <w:pPr>
        <w:pStyle w:val="Normal"/>
        <w:spacing w:lineRule="exact" w:line="340" w:before="120" w:after="120"/>
        <w:ind w:firstLine="709"/>
        <w:jc w:val="both"/>
        <w:rPr>
          <w:rFonts w:ascii="Times New Roman" w:hAnsi="Times New Roman" w:cs="Times New Roman"/>
          <w:color w:val="auto"/>
          <w:sz w:val="28"/>
          <w:szCs w:val="28"/>
          <w:lang w:val="pl-PL" w:eastAsia="en-US"/>
        </w:rPr>
      </w:pPr>
      <w:r>
        <w:rPr>
          <w:rFonts w:cs="Times New Roman" w:ascii="Times New Roman" w:hAnsi="Times New Roman"/>
          <w:color w:val="auto"/>
          <w:spacing w:val="-2"/>
          <w:sz w:val="28"/>
          <w:szCs w:val="28"/>
          <w:lang w:val="pl-PL" w:eastAsia="en-US"/>
        </w:rPr>
        <w:t>+ Không quy định việc hỗ trợ đào tạo, chuyển đổi nghề và tìm kiếm việc làm trong dự thảo Luật Đất đai mà giao Chính phủ quy định.</w:t>
      </w:r>
    </w:p>
    <w:p>
      <w:pPr>
        <w:pStyle w:val="Normal"/>
        <w:spacing w:lineRule="exact" w:line="340" w:before="120" w:after="120"/>
        <w:ind w:firstLine="709"/>
        <w:jc w:val="both"/>
        <w:rPr>
          <w:rFonts w:ascii="Times New Roman" w:hAnsi="Times New Roman" w:cs="Times New Roman"/>
          <w:color w:val="auto"/>
          <w:sz w:val="28"/>
          <w:szCs w:val="28"/>
          <w:lang w:val="pl-PL" w:eastAsia="en-US"/>
        </w:rPr>
      </w:pPr>
      <w:r>
        <w:rPr>
          <w:rFonts w:cs="Times New Roman" w:ascii="Times New Roman" w:hAnsi="Times New Roman"/>
          <w:color w:val="auto"/>
          <w:sz w:val="28"/>
          <w:szCs w:val="28"/>
          <w:lang w:val="pl-PL" w:eastAsia="en-US"/>
        </w:rPr>
        <w:t xml:space="preserve">+ Giao Chính phủ quy định trình tự, thủ tục thu hồi đất vì mục đích quốc phòng, an ninh, phát triển kinh tế - xã hội vì lợi ích quốc gia, công cộng trong Luật Đất đai. </w:t>
      </w:r>
    </w:p>
    <w:p>
      <w:pPr>
        <w:pStyle w:val="Normal"/>
        <w:spacing w:lineRule="exact" w:line="340" w:before="120" w:after="120"/>
        <w:ind w:firstLine="709"/>
        <w:jc w:val="both"/>
        <w:rPr>
          <w:rFonts w:ascii="Times New Roman" w:hAnsi="Times New Roman" w:cs="Times New Roman"/>
          <w:color w:val="auto"/>
          <w:sz w:val="28"/>
          <w:szCs w:val="28"/>
          <w:lang w:val="pl-PL" w:eastAsia="en-US"/>
        </w:rPr>
      </w:pPr>
      <w:r>
        <w:rPr>
          <w:rFonts w:cs="Times New Roman" w:ascii="Times New Roman" w:hAnsi="Times New Roman"/>
          <w:color w:val="auto"/>
          <w:sz w:val="28"/>
          <w:szCs w:val="28"/>
          <w:u w:val="single"/>
          <w:lang w:val="pl-PL" w:eastAsia="en-US"/>
        </w:rPr>
        <w:t xml:space="preserve">- Giải pháp 2: </w:t>
      </w:r>
      <w:r>
        <w:rPr>
          <w:rFonts w:cs="Times New Roman" w:ascii="Times New Roman" w:hAnsi="Times New Roman"/>
          <w:color w:val="auto"/>
          <w:sz w:val="28"/>
          <w:szCs w:val="28"/>
          <w:lang w:val="pl-PL" w:eastAsia="en-US"/>
        </w:rPr>
        <w:t xml:space="preserve">Giữ nguyên các trường hợp Nhà nước thu hồi đất vì mục đích quốc phòng, an ninh; để phát triển kinh tế - xã hội vì lợi ích quốc gia, công cộng quy định tại Điều 78 và Điều 79 Luật Đất đai; giữ nguyên nội dung về trình tự, thủ tục thu hồi đất, quyền của </w:t>
      </w:r>
      <w:r>
        <w:rPr>
          <w:rFonts w:cs="Times New Roman" w:ascii="Times New Roman" w:hAnsi="Times New Roman"/>
          <w:iCs/>
          <w:color w:val="auto"/>
          <w:sz w:val="28"/>
          <w:szCs w:val="28"/>
          <w:lang w:val="pl-PL" w:eastAsia="en-US"/>
        </w:rPr>
        <w:t xml:space="preserve">người sử dụng đất là người đã nhận chuyển quyền sử dụng đất trong thời gian thực hiện thông báo thu hồi đất </w:t>
      </w:r>
      <w:r>
        <w:rPr>
          <w:rFonts w:cs="Times New Roman" w:ascii="Times New Roman" w:hAnsi="Times New Roman"/>
          <w:color w:val="auto"/>
          <w:sz w:val="28"/>
          <w:szCs w:val="28"/>
          <w:lang w:val="pl-PL" w:eastAsia="en-US"/>
        </w:rPr>
        <w:t xml:space="preserve">quy định trong Luật Đất đai. </w:t>
      </w:r>
    </w:p>
    <w:p>
      <w:pPr>
        <w:pStyle w:val="Heading3"/>
        <w:spacing w:lineRule="exact" w:line="340" w:before="120" w:after="120"/>
        <w:ind w:firstLine="709"/>
        <w:jc w:val="both"/>
        <w:rPr>
          <w:rFonts w:ascii="Times New Roman" w:hAnsi="Times New Roman" w:cs="Times New Roman"/>
          <w:i/>
          <w:iCs/>
          <w:color w:val="auto"/>
          <w:sz w:val="28"/>
          <w:lang w:val="pl-PL" w:eastAsia="en-US"/>
        </w:rPr>
      </w:pPr>
      <w:r>
        <w:rPr>
          <w:rFonts w:cs="Times New Roman" w:ascii="Times New Roman" w:hAnsi="Times New Roman"/>
          <w:i/>
          <w:iCs/>
          <w:color w:val="auto"/>
          <w:sz w:val="28"/>
          <w:lang w:val="pl-PL" w:eastAsia="en-US"/>
        </w:rPr>
        <w:t xml:space="preserve">d) Giải pháp tối ưu được lựa chọn và lý do lựa chọn: </w:t>
      </w:r>
    </w:p>
    <w:p>
      <w:pPr>
        <w:pStyle w:val="Normal"/>
        <w:spacing w:lineRule="exact" w:line="340" w:before="120" w:after="120"/>
        <w:ind w:firstLine="709"/>
        <w:jc w:val="both"/>
        <w:rPr>
          <w:rFonts w:ascii="Times New Roman" w:hAnsi="Times New Roman" w:cs="Times New Roman"/>
          <w:i/>
          <w:iCs/>
          <w:color w:val="auto"/>
          <w:sz w:val="28"/>
          <w:szCs w:val="28"/>
          <w:lang w:val="pl-PL" w:eastAsia="en-US"/>
        </w:rPr>
      </w:pPr>
      <w:r>
        <w:rPr>
          <w:rFonts w:cs="Times New Roman" w:ascii="Times New Roman" w:hAnsi="Times New Roman"/>
          <w:color w:val="auto"/>
          <w:sz w:val="28"/>
          <w:szCs w:val="28"/>
          <w:lang w:val="pl-PL" w:eastAsia="en-US"/>
        </w:rPr>
        <w:t xml:space="preserve">Trên cơ sở phân tích, đánh giá tác động của các giải pháp, Bộ Nông nghiệp và Môi trường kiến nghị chọn Giải pháp 1 để tạo động lực mạnh cho phát triển hạ tầng, thu hút đầu tư và khai thác hiệu quả nguồn lực đất đai, góp phần thực hiện các mục tiêu phát triển đất nước; bảo đảm hài hoà lợi ích, giảm khiếu kiện, ổn định đời sống người có đất thu hồi và đẩy nhanh tiến độ triển khai dự án, </w:t>
      </w:r>
      <w:r>
        <w:rPr>
          <w:rFonts w:cs="Times New Roman" w:ascii="Times New Roman" w:hAnsi="Times New Roman"/>
          <w:iCs/>
          <w:color w:val="auto"/>
          <w:sz w:val="28"/>
          <w:szCs w:val="28"/>
          <w:lang w:val="pl-PL" w:eastAsia="en-US"/>
        </w:rPr>
        <w:t>phòng ngừa trục lợi chính sách, đầu cơ bồi thường, xây dựng trái phép sau khi có thông báo thu hồi đất.</w:t>
      </w:r>
    </w:p>
    <w:p>
      <w:pPr>
        <w:pStyle w:val="Heading2"/>
        <w:spacing w:lineRule="exact" w:line="340" w:before="120" w:after="120"/>
        <w:ind w:firstLine="709"/>
        <w:jc w:val="both"/>
        <w:rPr>
          <w:rFonts w:ascii="Times New Roman" w:hAnsi="Times New Roman" w:cs="Times New Roman"/>
          <w:b/>
          <w:bCs/>
          <w:i/>
          <w:color w:val="auto"/>
          <w:sz w:val="28"/>
          <w:szCs w:val="28"/>
        </w:rPr>
      </w:pPr>
      <w:r>
        <w:rPr>
          <w:rFonts w:cs="Times New Roman" w:ascii="Times New Roman" w:hAnsi="Times New Roman"/>
          <w:b/>
          <w:bCs/>
          <w:i/>
          <w:color w:val="auto"/>
          <w:sz w:val="28"/>
          <w:szCs w:val="28"/>
        </w:rPr>
        <w:t xml:space="preserve">4. Chính sách 4: Hoàn thiện cơ chế tài chính </w:t>
      </w:r>
      <w:r>
        <w:rPr>
          <w:rFonts w:cs="Times New Roman" w:ascii="Times New Roman" w:hAnsi="Times New Roman"/>
          <w:b/>
          <w:bCs/>
          <w:i/>
          <w:color w:val="auto"/>
          <w:sz w:val="28"/>
          <w:szCs w:val="28"/>
          <w:lang w:val="pl-PL"/>
        </w:rPr>
        <w:t xml:space="preserve">về </w:t>
      </w:r>
      <w:r>
        <w:rPr>
          <w:rFonts w:cs="Times New Roman" w:ascii="Times New Roman" w:hAnsi="Times New Roman"/>
          <w:b/>
          <w:bCs/>
          <w:i/>
          <w:color w:val="auto"/>
          <w:sz w:val="28"/>
          <w:szCs w:val="28"/>
        </w:rPr>
        <w:t>đất đai</w:t>
      </w:r>
      <w:r>
        <w:rPr>
          <w:rFonts w:cs="Times New Roman" w:ascii="Times New Roman" w:hAnsi="Times New Roman"/>
          <w:b/>
          <w:bCs/>
          <w:i/>
          <w:color w:val="auto"/>
          <w:sz w:val="28"/>
          <w:szCs w:val="28"/>
          <w:lang w:val="pl-PL"/>
        </w:rPr>
        <w:t>, giá đất</w:t>
      </w:r>
    </w:p>
    <w:p>
      <w:pPr>
        <w:pStyle w:val="Heading3"/>
        <w:spacing w:lineRule="exact" w:line="340" w:before="120" w:after="120"/>
        <w:ind w:firstLine="709"/>
        <w:jc w:val="both"/>
        <w:rPr>
          <w:rFonts w:ascii="Times New Roman" w:hAnsi="Times New Roman" w:cs="Times New Roman"/>
          <w:i/>
          <w:iCs/>
          <w:color w:val="auto"/>
          <w:sz w:val="28"/>
          <w:lang w:eastAsia="en-US"/>
        </w:rPr>
      </w:pPr>
      <w:r>
        <w:rPr>
          <w:rFonts w:cs="Times New Roman" w:ascii="Times New Roman" w:hAnsi="Times New Roman"/>
          <w:i/>
          <w:iCs/>
          <w:color w:val="auto"/>
          <w:sz w:val="28"/>
          <w:lang w:eastAsia="en-US"/>
        </w:rPr>
        <w:t>a) Mục tiêu của chính sách:</w:t>
      </w:r>
    </w:p>
    <w:p>
      <w:pPr>
        <w:pStyle w:val="Normal"/>
        <w:spacing w:lineRule="exact" w:line="340" w:before="120" w:after="120"/>
        <w:ind w:firstLine="709"/>
        <w:jc w:val="both"/>
        <w:rPr>
          <w:rFonts w:ascii="Times New Roman" w:hAnsi="Times New Roman" w:cs="Times New Roman"/>
          <w:color w:val="auto"/>
          <w:sz w:val="28"/>
          <w:szCs w:val="28"/>
          <w:lang w:eastAsia="en-US"/>
        </w:rPr>
      </w:pPr>
      <w:r>
        <w:rPr>
          <w:rFonts w:cs="Times New Roman" w:ascii="Times New Roman" w:hAnsi="Times New Roman"/>
          <w:color w:val="auto"/>
          <w:sz w:val="28"/>
          <w:szCs w:val="28"/>
          <w:lang w:eastAsia="en-US"/>
        </w:rPr>
        <w:t>- Hoàn thiện thể chế, chính sách về quản lý và sử dụng đất đồng bộ và phù hợp với thể chế phát triển nền kinh tế thị trường định hướng xã hội chủ nghĩa. Nguồn lực đất đai được quản lý, khai thác, sử dụng bảo đảm tiết kiệm, bền vững, hiệu quả cao nhất; bảo đảm công bằng và ổn định xã hội, bảo đảm quốc phòng, an ninh, bảo vệ môi trường, thích ứng với biến đổi khí hậu.</w:t>
      </w:r>
    </w:p>
    <w:p>
      <w:pPr>
        <w:pStyle w:val="Normal"/>
        <w:spacing w:lineRule="exact" w:line="340" w:before="120" w:after="120"/>
        <w:ind w:firstLine="709"/>
        <w:jc w:val="both"/>
        <w:rPr>
          <w:rFonts w:ascii="Times New Roman" w:hAnsi="Times New Roman" w:cs="Times New Roman"/>
          <w:color w:val="auto"/>
          <w:sz w:val="28"/>
          <w:szCs w:val="28"/>
          <w:lang w:eastAsia="en-US"/>
        </w:rPr>
      </w:pPr>
      <w:r>
        <w:rPr>
          <w:rFonts w:cs="Times New Roman" w:ascii="Times New Roman" w:hAnsi="Times New Roman"/>
          <w:color w:val="auto"/>
          <w:sz w:val="28"/>
          <w:szCs w:val="28"/>
          <w:lang w:eastAsia="en-US"/>
        </w:rPr>
        <w:t>- Chuyển mạnh từ tư duy quản lý hành chính sang tư duy quản trị hiện đại về đất đai bảo đảm quản lý thống nhất, công khai, minh bạch, hiệu quả, vận hành thông suốt trên nền tảng số, dữ liệu số và ứng dụng mạnh mẽ khoa học, công nghệ, đổi mới sáng tạo, chuyển đổi số, trí tuệ nhân tạo. Tinh thần là khơi thông nguồn lực đất đai, nhưng không buông lỏng quản lý; Nhà nước điều tiết, kiểm soát và quyết định giá đất, quyết định chính sách và thực hiện điều tiết phần giá trị tăng thêm từ đất không phải do người sử dụng đất tạo ra; thống nhất nhận thức về vai trò của Nhà nước trong việc thiết kế chính sách và tổ chức thực hiện về giá đất, tài chính đất đai và điều tiết địa tô chênh lệch. </w:t>
      </w:r>
    </w:p>
    <w:p>
      <w:pPr>
        <w:pStyle w:val="Normal"/>
        <w:spacing w:lineRule="exact" w:line="340" w:before="120" w:after="120"/>
        <w:ind w:firstLine="709"/>
        <w:jc w:val="both"/>
        <w:rPr>
          <w:rFonts w:ascii="Times New Roman" w:hAnsi="Times New Roman" w:cs="Times New Roman"/>
          <w:color w:val="auto"/>
          <w:sz w:val="28"/>
          <w:szCs w:val="28"/>
          <w:lang w:eastAsia="en-US"/>
        </w:rPr>
      </w:pPr>
      <w:r>
        <w:rPr>
          <w:rFonts w:cs="Times New Roman" w:ascii="Times New Roman" w:hAnsi="Times New Roman"/>
          <w:color w:val="auto"/>
          <w:sz w:val="28"/>
          <w:szCs w:val="28"/>
          <w:lang w:eastAsia="en-US"/>
        </w:rPr>
        <w:t>- Chính sách tài chính về đất đai phải bảo đảm hài hoà lợi ích của Nhà nước, người sử dụng đất và nhà đầu tư; có chính sách phù hợp với từng đối tượng, loại hình sử dụng đất để phát huy cao nhất tiềm năng, giá trị nguồn lực đất đai.</w:t>
      </w:r>
    </w:p>
    <w:p>
      <w:pPr>
        <w:pStyle w:val="Heading3"/>
        <w:spacing w:lineRule="exact" w:line="340" w:before="120" w:after="120"/>
        <w:ind w:firstLine="709"/>
        <w:jc w:val="both"/>
        <w:rPr>
          <w:rFonts w:ascii="Times New Roman" w:hAnsi="Times New Roman" w:cs="Times New Roman"/>
          <w:i/>
          <w:iCs/>
          <w:color w:val="auto"/>
          <w:sz w:val="28"/>
          <w:lang w:eastAsia="en-US"/>
        </w:rPr>
      </w:pPr>
      <w:r>
        <w:rPr>
          <w:rFonts w:cs="Times New Roman" w:ascii="Times New Roman" w:hAnsi="Times New Roman"/>
          <w:i/>
          <w:iCs/>
          <w:color w:val="auto"/>
          <w:sz w:val="28"/>
          <w:lang w:eastAsia="en-US"/>
        </w:rPr>
        <w:t>b) Nội dung của chính sách</w:t>
      </w:r>
    </w:p>
    <w:p>
      <w:pPr>
        <w:pStyle w:val="Normal"/>
        <w:spacing w:lineRule="exact" w:line="340" w:before="120" w:after="120"/>
        <w:ind w:firstLine="709"/>
        <w:jc w:val="both"/>
        <w:rPr>
          <w:rFonts w:ascii="Times New Roman" w:hAnsi="Times New Roman" w:cs="Times New Roman"/>
          <w:color w:val="auto"/>
          <w:sz w:val="28"/>
          <w:szCs w:val="28"/>
          <w:lang w:eastAsia="en-US"/>
        </w:rPr>
      </w:pPr>
      <w:r>
        <w:rPr>
          <w:rFonts w:cs="Times New Roman" w:ascii="Times New Roman" w:hAnsi="Times New Roman"/>
          <w:color w:val="auto"/>
          <w:sz w:val="28"/>
          <w:szCs w:val="28"/>
          <w:lang w:eastAsia="en-US"/>
        </w:rPr>
        <w:t xml:space="preserve">- Giá đất do Nhà nước quyết định căn cứ vào mục tiêu phát triển của từng thời kỳ, bảo đảm chi phí đầu vào hợp lý cho hoạt động sản xuất, kinh doanh, nâng cao sức cạnh tranh của nền kinh tế, thúc đẩy phát triển kinh tế - xã hội; dựa trên dữ liệu, phương pháp khoa học, công khai, minh bạch; kết nối liên thông giữa dữ liệu đất đai với các dữ liệu chuyên ngành có liên quan; không để bị thao túng giá, hình thành giá ảo. </w:t>
      </w:r>
    </w:p>
    <w:p>
      <w:pPr>
        <w:pStyle w:val="Normal"/>
        <w:spacing w:lineRule="exact" w:line="340" w:before="120" w:after="120"/>
        <w:ind w:firstLine="709"/>
        <w:jc w:val="both"/>
        <w:rPr>
          <w:rFonts w:ascii="Times New Roman" w:hAnsi="Times New Roman" w:cs="Times New Roman"/>
          <w:color w:val="auto"/>
          <w:sz w:val="28"/>
          <w:szCs w:val="28"/>
          <w:lang w:eastAsia="en-US"/>
        </w:rPr>
      </w:pPr>
      <w:r>
        <w:rPr>
          <w:rFonts w:cs="Times New Roman" w:ascii="Times New Roman" w:hAnsi="Times New Roman"/>
          <w:color w:val="auto"/>
          <w:sz w:val="28"/>
          <w:szCs w:val="28"/>
          <w:lang w:eastAsia="en-US"/>
        </w:rPr>
        <w:t>- Nhà nước ban hành bảng giá đất, hệ số điều chỉnh giá đất, tỷ lệ thu tiền sử dụng đất, tiền thuê đất, tỷ lệ bồi thường phù hợp với tình hình thực tế, theo từng loại đất, bảo đảm công bằng, công khai, minh bạch, hài hoà lợi ích giữa Nhà nước, người sử dụng đất và nhà đầu tư.</w:t>
      </w:r>
    </w:p>
    <w:p>
      <w:pPr>
        <w:pStyle w:val="Normal"/>
        <w:spacing w:lineRule="exact" w:line="340" w:before="120" w:after="120"/>
        <w:ind w:firstLine="709"/>
        <w:jc w:val="both"/>
        <w:rPr>
          <w:rFonts w:ascii="Times New Roman" w:hAnsi="Times New Roman" w:cs="Times New Roman"/>
          <w:color w:val="auto"/>
          <w:sz w:val="28"/>
          <w:szCs w:val="28"/>
          <w:lang w:eastAsia="en-US"/>
        </w:rPr>
      </w:pPr>
      <w:r>
        <w:rPr>
          <w:rFonts w:cs="Times New Roman" w:ascii="Times New Roman" w:hAnsi="Times New Roman"/>
          <w:color w:val="auto"/>
          <w:sz w:val="28"/>
          <w:szCs w:val="28"/>
          <w:lang w:eastAsia="en-US"/>
        </w:rPr>
        <w:t>- Quy định thống nhất về thẩm quyền quyết định, sửa đổi, bổ sung bảng giá đất và thẩm quyền quyết định, sửa đổi, bổ sung hệ số điều chỉnh giá đất là của Hội đồng nhân dân cấp tỉnh nhằm nâng cao nhiệm vụ, quyền hạn của Hội đồng nhân dân cấp tỉnh về giá đất.</w:t>
      </w:r>
    </w:p>
    <w:p>
      <w:pPr>
        <w:pStyle w:val="Normal"/>
        <w:spacing w:lineRule="exact" w:line="340" w:before="120" w:after="120"/>
        <w:ind w:firstLine="709"/>
        <w:jc w:val="both"/>
        <w:rPr>
          <w:rFonts w:ascii="Times New Roman" w:hAnsi="Times New Roman" w:cs="Times New Roman"/>
          <w:color w:val="auto"/>
          <w:sz w:val="28"/>
          <w:szCs w:val="28"/>
          <w:lang w:eastAsia="en-US"/>
        </w:rPr>
      </w:pPr>
      <w:r>
        <w:rPr>
          <w:rFonts w:cs="Times New Roman" w:ascii="Times New Roman" w:hAnsi="Times New Roman"/>
          <w:color w:val="auto"/>
          <w:sz w:val="28"/>
          <w:szCs w:val="28"/>
          <w:lang w:eastAsia="en-US"/>
        </w:rPr>
        <w:t xml:space="preserve">- Quy định việc xác định, thẩm định, quyết định giá đất theo nguyên tắc: Trung ương xây dựng tiêu chí khung, nguyên tắc, phương pháp và cơ chế kiểm tra, giám sát; địa phương quyết định giá đất. </w:t>
      </w:r>
    </w:p>
    <w:p>
      <w:pPr>
        <w:pStyle w:val="Normal"/>
        <w:spacing w:lineRule="exact" w:line="340" w:before="120" w:after="120"/>
        <w:ind w:firstLine="709"/>
        <w:jc w:val="both"/>
        <w:rPr>
          <w:rFonts w:ascii="Times New Roman" w:hAnsi="Times New Roman" w:cs="Times New Roman"/>
          <w:color w:val="auto"/>
          <w:sz w:val="28"/>
          <w:szCs w:val="28"/>
          <w:lang w:eastAsia="en-US"/>
        </w:rPr>
      </w:pPr>
      <w:r>
        <w:rPr>
          <w:rFonts w:cs="Times New Roman" w:ascii="Times New Roman" w:hAnsi="Times New Roman"/>
          <w:color w:val="auto"/>
          <w:sz w:val="28"/>
          <w:szCs w:val="28"/>
          <w:lang w:eastAsia="en-US"/>
        </w:rPr>
        <w:t>- Quy định cụ thể chức năng, nhiệm vụ của cơ quan tài chính: ở Trung ương, cơ quan tài chính thực hiện chức năng quản lý nhà nước về giá đất; ở địa phương, cơ quan tài chính chủ trì, phối hợp với cơ quan nông nghiệp và môi trường và các cơ quan có liên quan trong việc xây dựng bảng giá đất, hệ số điều chỉnh giá đất.</w:t>
      </w:r>
    </w:p>
    <w:p>
      <w:pPr>
        <w:pStyle w:val="Normal"/>
        <w:spacing w:lineRule="exact" w:line="340" w:before="120" w:after="120"/>
        <w:ind w:firstLine="709"/>
        <w:jc w:val="both"/>
        <w:rPr>
          <w:rFonts w:ascii="Times New Roman" w:hAnsi="Times New Roman" w:cs="Times New Roman"/>
          <w:color w:val="auto"/>
          <w:sz w:val="28"/>
          <w:szCs w:val="28"/>
          <w:lang w:eastAsia="en-US"/>
        </w:rPr>
      </w:pPr>
      <w:r>
        <w:rPr>
          <w:rFonts w:cs="Times New Roman" w:ascii="Times New Roman" w:hAnsi="Times New Roman"/>
          <w:color w:val="auto"/>
          <w:sz w:val="28"/>
          <w:szCs w:val="28"/>
          <w:lang w:eastAsia="en-US"/>
        </w:rPr>
        <w:t xml:space="preserve">- Có chính sách điều tiết hợp lý giá trị tăng thêm từ đất do quy hoạch được thực hiện, đầu tư hạ tầng, chuyển đổi mục đích sử dụng đất, mở rộng không gian đô thị để phòng chống lợi ích nhóm, tham nhũng, lãng phí, tiêu cực; tạo nguồn lực hiện đại hoá cơ sở hạ tầng, chỉnh trang đô thị, phát triển nhà ở cho thuê và thực hiện các chính sách an sinh xã hội. </w:t>
      </w:r>
    </w:p>
    <w:p>
      <w:pPr>
        <w:pStyle w:val="Normal"/>
        <w:spacing w:lineRule="exact" w:line="340" w:before="120" w:after="120"/>
        <w:ind w:firstLine="709"/>
        <w:jc w:val="both"/>
        <w:rPr>
          <w:rFonts w:ascii="Times New Roman" w:hAnsi="Times New Roman" w:cs="Times New Roman"/>
          <w:color w:val="auto"/>
          <w:sz w:val="28"/>
          <w:szCs w:val="28"/>
          <w:lang w:eastAsia="en-US"/>
        </w:rPr>
      </w:pPr>
      <w:r>
        <w:rPr>
          <w:rFonts w:cs="Times New Roman" w:ascii="Times New Roman" w:hAnsi="Times New Roman"/>
          <w:color w:val="auto"/>
          <w:sz w:val="28"/>
          <w:szCs w:val="28"/>
          <w:lang w:eastAsia="en-US"/>
        </w:rPr>
        <w:t xml:space="preserve">- Có chính sách hợp lý về tiền sử dụng đất, tiền thuê đất đối với đất sản xuất kinh doanh, đất phát triển dự án nhà ở cho thuê với giá phù hợp. Thực hiện cơ chế điều tiết, phân bổ ngân sách bảo đảm hài hòa lợi ích giữa các địa phương có diện tích đất trồng lúa lớn, diện tích đất rừng lớn với các địa phương khác. </w:t>
      </w:r>
    </w:p>
    <w:p>
      <w:pPr>
        <w:pStyle w:val="Normal"/>
        <w:spacing w:lineRule="exact" w:line="340" w:before="120" w:after="120"/>
        <w:ind w:firstLine="709"/>
        <w:jc w:val="both"/>
        <w:rPr>
          <w:rFonts w:ascii="Times New Roman" w:hAnsi="Times New Roman" w:cs="Times New Roman"/>
          <w:iCs/>
          <w:color w:val="auto"/>
          <w:sz w:val="28"/>
          <w:szCs w:val="28"/>
          <w:lang w:val="nl-NL" w:eastAsia="en-US"/>
        </w:rPr>
      </w:pPr>
      <w:r>
        <w:rPr>
          <w:rFonts w:cs="Times New Roman" w:ascii="Times New Roman" w:hAnsi="Times New Roman"/>
          <w:iCs/>
          <w:color w:val="auto"/>
          <w:sz w:val="28"/>
          <w:szCs w:val="28"/>
          <w:lang w:val="nl-NL" w:eastAsia="en-US"/>
        </w:rPr>
        <w:t>- Quy định rõ cơ chế thực hiện dự án vùng phụ cận các điểm kết nối giao thông và các tuyến giao thông có tiềm năng phát triển để đấu giá quyền sử dụng đất, đấu thầu dự án có sử dụng đất, giao quyền cho nhà đầu tư phát triển dự án TOD để điều tiết giá trị tăng thêm từ đất đai.</w:t>
      </w:r>
    </w:p>
    <w:p>
      <w:pPr>
        <w:pStyle w:val="Normal"/>
        <w:spacing w:lineRule="exact" w:line="340" w:before="120" w:after="120"/>
        <w:ind w:firstLine="709"/>
        <w:jc w:val="both"/>
        <w:rPr>
          <w:rFonts w:ascii="Times New Roman" w:hAnsi="Times New Roman" w:cs="Times New Roman"/>
          <w:color w:val="auto"/>
          <w:sz w:val="28"/>
          <w:szCs w:val="28"/>
          <w:lang w:val="nl-NL" w:eastAsia="en-US"/>
        </w:rPr>
      </w:pPr>
      <w:r>
        <w:rPr>
          <w:rFonts w:cs="Times New Roman" w:ascii="Times New Roman" w:hAnsi="Times New Roman"/>
          <w:color w:val="auto"/>
          <w:sz w:val="28"/>
          <w:szCs w:val="28"/>
          <w:lang w:val="nl-NL" w:eastAsia="en-US"/>
        </w:rPr>
        <w:t>- Có chính sách ưu đãi thuế, tiền sử dụng đất, tiền thuê đất phù hợp với lĩnh vực, địa bàn ưu đãi đầu tư; đối với hộ nghèo, đồng bào dân tộc thiểu số và miền núi, người có thu nhập thấp, người có nhà ở duy nhất, gia đình người có công với cách mạng.</w:t>
      </w:r>
    </w:p>
    <w:p>
      <w:pPr>
        <w:pStyle w:val="Normal"/>
        <w:spacing w:lineRule="exact" w:line="340" w:before="120" w:after="120"/>
        <w:ind w:firstLine="709"/>
        <w:jc w:val="both"/>
        <w:rPr>
          <w:rFonts w:ascii="Times New Roman" w:hAnsi="Times New Roman" w:cs="Times New Roman"/>
          <w:color w:val="auto"/>
          <w:sz w:val="28"/>
          <w:szCs w:val="28"/>
          <w:lang w:eastAsia="en-US"/>
        </w:rPr>
      </w:pPr>
      <w:r>
        <w:rPr>
          <w:rFonts w:cs="Times New Roman" w:ascii="Times New Roman" w:hAnsi="Times New Roman"/>
          <w:color w:val="auto"/>
          <w:sz w:val="28"/>
          <w:szCs w:val="28"/>
          <w:lang w:eastAsia="en-US"/>
        </w:rPr>
        <w:t>- Bỏ nguyên tắc định giá đất theo nguyên tắc thị trường khi xác định giá đất nhằm phát huy vai trò của Nhà nước trong việc quyết định giá đất; quy định các phương pháp định giá đất khoa học, công khai.</w:t>
      </w:r>
    </w:p>
    <w:p>
      <w:pPr>
        <w:pStyle w:val="Normal"/>
        <w:spacing w:lineRule="exact" w:line="340" w:before="120" w:after="120"/>
        <w:ind w:firstLine="709"/>
        <w:jc w:val="both"/>
        <w:rPr>
          <w:rFonts w:ascii="Times New Roman" w:hAnsi="Times New Roman" w:cs="Times New Roman"/>
          <w:color w:val="auto"/>
          <w:sz w:val="28"/>
          <w:szCs w:val="28"/>
          <w:lang w:eastAsia="en-US"/>
        </w:rPr>
      </w:pPr>
      <w:r>
        <w:rPr>
          <w:rFonts w:cs="Times New Roman" w:ascii="Times New Roman" w:hAnsi="Times New Roman"/>
          <w:color w:val="auto"/>
          <w:sz w:val="28"/>
          <w:szCs w:val="28"/>
          <w:lang w:eastAsia="en-US"/>
        </w:rPr>
        <w:t xml:space="preserve">- Bỏ quy định về giá đất cụ thể. Quy định về bảng giá đất; hệ số điều chỉnh giá đất; tỷ lệ thu tiền sử dụng đất, tiền thuê đất; tỷ lệ bồi thường; chi phí xây dựng hạ tầng được xác định theo quy định của pháp luật về xây dựng (nếu có) để làm căn cứ quy định các nội dung về tính tiền sử dụng đất, tiền thuê đất; tiền bồi thường khi Nhà nước thu hồi đất; xác định giá khởi điểm để đấu giá quyền sử dụng đất; tính thuế, phí, lệ phí liên quan đến việc sử dụng đất; tính tiền xử phạt vi phạm hành chính trong lĩnh vực đất đai; tính giá trị quyền sử dụng đất khi cổ phần hóa doanh nghiệp nhà nước theo quy định của pháp luật về cổ phần hóa; thực hiện quyền và nghĩa vụ của người sử dụng đất đối với Nhà nước; bồi thường khi Nhà nước thu hồi đất. </w:t>
      </w:r>
    </w:p>
    <w:p>
      <w:pPr>
        <w:pStyle w:val="Normal"/>
        <w:spacing w:lineRule="exact" w:line="340" w:before="120" w:after="120"/>
        <w:ind w:firstLine="709"/>
        <w:jc w:val="both"/>
        <w:rPr>
          <w:rFonts w:ascii="Times New Roman" w:hAnsi="Times New Roman" w:cs="Times New Roman"/>
          <w:color w:val="auto"/>
          <w:sz w:val="28"/>
          <w:szCs w:val="28"/>
          <w:lang w:eastAsia="en-US"/>
        </w:rPr>
      </w:pPr>
      <w:r>
        <w:rPr>
          <w:rFonts w:cs="Times New Roman" w:ascii="Times New Roman" w:hAnsi="Times New Roman"/>
          <w:color w:val="auto"/>
          <w:sz w:val="28"/>
          <w:szCs w:val="28"/>
          <w:lang w:eastAsia="en-US"/>
        </w:rPr>
        <w:t>- Bỏ các quy định về tư vấn xác định giá đất, điều kiện hành nghề của tư vấn xác định giá đất để nâng cao trách nhiệm của cơ quan có chức năng quản lý nhà nước, đơn vị sự nghiệp công lập trong việc xây dựng bảng giá đất, hệ số điều chỉnh giá đất; cắt giảm điều kiện kinh doanh.</w:t>
      </w:r>
    </w:p>
    <w:p>
      <w:pPr>
        <w:pStyle w:val="Heading3"/>
        <w:spacing w:lineRule="exact" w:line="340" w:before="120" w:after="120"/>
        <w:ind w:firstLine="709"/>
        <w:jc w:val="both"/>
        <w:rPr>
          <w:rFonts w:ascii="Times New Roman" w:hAnsi="Times New Roman" w:cs="Times New Roman"/>
          <w:i/>
          <w:iCs/>
          <w:color w:val="auto"/>
          <w:sz w:val="28"/>
          <w:lang w:eastAsia="en-US"/>
        </w:rPr>
      </w:pPr>
      <w:r>
        <w:rPr>
          <w:rFonts w:cs="Times New Roman" w:ascii="Times New Roman" w:hAnsi="Times New Roman"/>
          <w:i/>
          <w:iCs/>
          <w:color w:val="auto"/>
          <w:sz w:val="28"/>
          <w:lang w:eastAsia="en-US"/>
        </w:rPr>
        <w:t xml:space="preserve">c) Các giải pháp thực hiện chính sách: </w:t>
      </w:r>
    </w:p>
    <w:p>
      <w:pPr>
        <w:pStyle w:val="Normal"/>
        <w:spacing w:lineRule="exact" w:line="340" w:before="120" w:after="120"/>
        <w:ind w:firstLine="709"/>
        <w:jc w:val="both"/>
        <w:rPr>
          <w:rFonts w:ascii="Times New Roman" w:hAnsi="Times New Roman" w:cs="Times New Roman"/>
          <w:color w:val="auto"/>
          <w:sz w:val="28"/>
          <w:szCs w:val="28"/>
          <w:u w:val="single"/>
          <w:lang w:eastAsia="en-US"/>
        </w:rPr>
      </w:pPr>
      <w:r>
        <w:rPr>
          <w:rFonts w:cs="Times New Roman" w:ascii="Times New Roman" w:hAnsi="Times New Roman"/>
          <w:color w:val="auto"/>
          <w:sz w:val="28"/>
          <w:szCs w:val="28"/>
          <w:u w:val="single"/>
          <w:lang w:eastAsia="en-US"/>
        </w:rPr>
        <w:t>- Giải pháp 1:</w:t>
      </w:r>
    </w:p>
    <w:p>
      <w:pPr>
        <w:pStyle w:val="Normal"/>
        <w:spacing w:lineRule="exact" w:line="340" w:before="120" w:after="120"/>
        <w:ind w:firstLine="709"/>
        <w:jc w:val="both"/>
        <w:rPr>
          <w:rFonts w:ascii="Times New Roman" w:hAnsi="Times New Roman" w:cs="Times New Roman"/>
          <w:color w:val="auto"/>
          <w:sz w:val="28"/>
          <w:szCs w:val="28"/>
          <w:lang w:eastAsia="en-US"/>
        </w:rPr>
      </w:pPr>
      <w:r>
        <w:rPr>
          <w:rFonts w:cs="Times New Roman" w:ascii="Times New Roman" w:hAnsi="Times New Roman"/>
          <w:color w:val="auto"/>
          <w:sz w:val="28"/>
          <w:szCs w:val="28"/>
          <w:lang w:eastAsia="en-US"/>
        </w:rPr>
        <w:t>+ Tiếp tục Luật hóa Nghị quyết số 254/2025/QH15 về việc cơ bản áp dụng bảng giá đất và hệ số điều chỉnh giá đất, đồng thời bổ sung quy định tỷ lệ thu tiền sử dụng đất, tiền thuê đất, tỷ lệ bồi thường để tính nghĩa vụ tài chính của người sử dụng đất và tính tiền bồi thường cho người có đất bị thu hồi. Việc xây dựng hệ số điều chỉnh giá đất theo hướng minh bạch, công khai, dễ kiểm tra, giám sát.</w:t>
      </w:r>
    </w:p>
    <w:p>
      <w:pPr>
        <w:pStyle w:val="Normal"/>
        <w:spacing w:lineRule="exact" w:line="340" w:before="120" w:after="120"/>
        <w:ind w:firstLine="709"/>
        <w:jc w:val="both"/>
        <w:rPr>
          <w:rFonts w:ascii="Times New Roman" w:hAnsi="Times New Roman" w:cs="Times New Roman"/>
          <w:iCs/>
          <w:color w:val="auto"/>
          <w:sz w:val="28"/>
          <w:szCs w:val="28"/>
          <w:lang w:eastAsia="en-US"/>
        </w:rPr>
      </w:pPr>
      <w:r>
        <w:rPr>
          <w:rFonts w:cs="Times New Roman" w:ascii="Times New Roman" w:hAnsi="Times New Roman"/>
          <w:color w:val="auto"/>
          <w:sz w:val="28"/>
          <w:szCs w:val="28"/>
          <w:lang w:eastAsia="en-US"/>
        </w:rPr>
        <w:t xml:space="preserve">+ Sửa đổi, bổ sung các quy định về tài chính đất đai, giá đất tại Luật Đất đai và các văn bản hướng dẫn thi hành Luật về phương pháp định giá đất, trình tự, thủ tục xây dựng, sửa đổi, bổ sung bảng giá đất, hệ số điều chỉnh giá đất, </w:t>
      </w:r>
      <w:r>
        <w:rPr>
          <w:rFonts w:cs="Times New Roman" w:ascii="Times New Roman" w:hAnsi="Times New Roman"/>
          <w:iCs/>
          <w:color w:val="auto"/>
          <w:sz w:val="28"/>
          <w:szCs w:val="28"/>
          <w:lang w:eastAsia="en-US"/>
        </w:rPr>
        <w:t xml:space="preserve">tỷ lệ tính thu tiền sử dụng đất, tiền thuê đất </w:t>
      </w:r>
      <w:r>
        <w:rPr>
          <w:rFonts w:cs="Times New Roman" w:ascii="Times New Roman" w:hAnsi="Times New Roman"/>
          <w:color w:val="auto"/>
          <w:sz w:val="28"/>
          <w:szCs w:val="28"/>
          <w:lang w:eastAsia="en-US"/>
        </w:rPr>
        <w:t xml:space="preserve">phù hợp với tình hình thực tế, theo từng loại đất </w:t>
      </w:r>
      <w:r>
        <w:rPr>
          <w:rFonts w:cs="Times New Roman" w:ascii="Times New Roman" w:hAnsi="Times New Roman"/>
          <w:iCs/>
          <w:color w:val="auto"/>
          <w:sz w:val="28"/>
          <w:szCs w:val="28"/>
          <w:lang w:eastAsia="en-US"/>
        </w:rPr>
        <w:t>và chi phí xây dựng hạ tầng; quy định tỷ lệ bồi thường là một trong các căn cứ để tính tiền bồi thường khi Nhà nước thu hồi đất; quy định chức năng, nhiệm vụ của cơ quan quản lý nhà nước về giá đất và tài chính đất đai; bổ sung nguồn dữ liệu để xác định giá đất.</w:t>
      </w:r>
    </w:p>
    <w:p>
      <w:pPr>
        <w:pStyle w:val="Normal"/>
        <w:spacing w:lineRule="exact" w:line="340" w:before="120" w:after="120"/>
        <w:ind w:firstLine="709"/>
        <w:jc w:val="both"/>
        <w:rPr>
          <w:rFonts w:ascii="Times New Roman" w:hAnsi="Times New Roman" w:cs="Times New Roman"/>
          <w:color w:val="auto"/>
          <w:sz w:val="28"/>
          <w:szCs w:val="28"/>
          <w:lang w:eastAsia="en-US"/>
        </w:rPr>
      </w:pPr>
      <w:r>
        <w:rPr>
          <w:rFonts w:cs="Times New Roman" w:ascii="Times New Roman" w:hAnsi="Times New Roman"/>
          <w:iCs/>
          <w:color w:val="auto"/>
          <w:sz w:val="28"/>
          <w:szCs w:val="28"/>
          <w:lang w:eastAsia="en-US"/>
        </w:rPr>
        <w:t>+ Quy định tại Luật Thuế và các Luật khác có liên quan: C</w:t>
      </w:r>
      <w:r>
        <w:rPr>
          <w:rFonts w:cs="Times New Roman" w:ascii="Times New Roman" w:hAnsi="Times New Roman"/>
          <w:color w:val="auto"/>
          <w:sz w:val="28"/>
          <w:szCs w:val="28"/>
          <w:lang w:eastAsia="en-US"/>
        </w:rPr>
        <w:t>hính sách điều tiết hợp lý giá trị tăng thêm từ đất do quy hoạch được thực hiện, đầu tư hạ tầng, chuyển đổi mục đích sử dụng đất, mở rộng không gian đô thị; tạo nguồn lực hiện đại hoá cơ sở hạ tầng, chỉnh trang đô thị, phát triển nhà ở cho thuê và thực hiện các chính sách an sinh xã hội. Có chính sách hợp lý về tiền sử dụng đất, tiền thuê đất đối với đất sản xuất kinh doanh, đất phát triển dự án nhà ở cho thuê với giá phù hợp. Có cơ chế điều tiết, phân bổ ngân sách bảo đảm hài hòa lợi ích giữa các địa phương có diện tích đất trồng lúa lớn, diện tích đất rừng lớn với các địa phương khác. Có chính sách ưu đãi thuế, tiền sử dụng đất, tiền thuê đất phù hợp với lĩnh vực, địa bàn ưu đãi đầu tư; đối với hộ nghèo, đồng bào dân tộc thiểu số và miền núi, người có thu nhập thấp, người có nhà ở duy nhất, gia đình người có công với cách mạng.</w:t>
      </w:r>
    </w:p>
    <w:p>
      <w:pPr>
        <w:pStyle w:val="Normal"/>
        <w:spacing w:lineRule="exact" w:line="340" w:before="120" w:after="120"/>
        <w:ind w:firstLine="709"/>
        <w:jc w:val="both"/>
        <w:rPr>
          <w:rFonts w:ascii="Times New Roman" w:hAnsi="Times New Roman" w:cs="Times New Roman"/>
          <w:iCs/>
          <w:color w:val="auto"/>
          <w:sz w:val="28"/>
          <w:szCs w:val="28"/>
          <w:lang w:eastAsia="en-US"/>
        </w:rPr>
      </w:pPr>
      <w:r>
        <w:rPr>
          <w:rFonts w:cs="Times New Roman" w:ascii="Times New Roman" w:hAnsi="Times New Roman"/>
          <w:iCs/>
          <w:color w:val="auto"/>
          <w:sz w:val="28"/>
          <w:szCs w:val="28"/>
          <w:lang w:eastAsia="en-US"/>
        </w:rPr>
        <w:t>+ Bổ sung quy định cơ chế thực hiện dự án vùng phụ cận các điểm kết nối giao thông và các tuyến giao thông có tiềm năng phát triển để đấu giá quyền sử dụng đất, đấu thầu dự án có sử dụng đất, giao quyền cho nhà đầu tư phát triển dự án TOD để điều tiết giá trị tăng thêm từ đất đai.</w:t>
      </w:r>
    </w:p>
    <w:p>
      <w:pPr>
        <w:pStyle w:val="Normal"/>
        <w:spacing w:lineRule="exact" w:line="340" w:before="120" w:after="120"/>
        <w:ind w:firstLine="709"/>
        <w:jc w:val="both"/>
        <w:rPr>
          <w:rFonts w:ascii="Times New Roman" w:hAnsi="Times New Roman" w:cs="Times New Roman"/>
          <w:color w:val="auto"/>
          <w:sz w:val="28"/>
          <w:szCs w:val="28"/>
          <w:lang w:eastAsia="en-US"/>
        </w:rPr>
      </w:pPr>
      <w:r>
        <w:rPr>
          <w:rFonts w:cs="Times New Roman" w:ascii="Times New Roman" w:hAnsi="Times New Roman"/>
          <w:color w:val="auto"/>
          <w:sz w:val="28"/>
          <w:szCs w:val="28"/>
          <w:u w:val="single"/>
          <w:lang w:eastAsia="en-US"/>
        </w:rPr>
        <w:t>- Giải pháp 2:</w:t>
      </w:r>
      <w:r>
        <w:rPr>
          <w:rFonts w:cs="Times New Roman" w:ascii="Times New Roman" w:hAnsi="Times New Roman"/>
          <w:color w:val="auto"/>
          <w:sz w:val="28"/>
          <w:szCs w:val="28"/>
          <w:lang w:eastAsia="en-US"/>
        </w:rPr>
        <w:t xml:space="preserve"> Giữ nguyên như quy định của Luật Đất đai năm 2024, quy định cụ thể trong Luật Đất đai nguyên tắc, phương pháp xác định giá đất, các trường hợp áp dụng bảng giá đất, hệ số điều chỉnh giá đất.</w:t>
      </w:r>
    </w:p>
    <w:p>
      <w:pPr>
        <w:pStyle w:val="Heading3"/>
        <w:spacing w:lineRule="exact" w:line="340" w:before="120" w:after="120"/>
        <w:ind w:firstLine="709"/>
        <w:jc w:val="both"/>
        <w:rPr>
          <w:rFonts w:ascii="Times New Roman" w:hAnsi="Times New Roman" w:cs="Times New Roman"/>
          <w:i/>
          <w:iCs/>
          <w:color w:val="auto"/>
          <w:sz w:val="28"/>
          <w:lang w:eastAsia="en-US"/>
        </w:rPr>
      </w:pPr>
      <w:r>
        <w:rPr>
          <w:rFonts w:cs="Times New Roman" w:ascii="Times New Roman" w:hAnsi="Times New Roman"/>
          <w:i/>
          <w:iCs/>
          <w:color w:val="auto"/>
          <w:sz w:val="28"/>
          <w:lang w:eastAsia="en-US"/>
        </w:rPr>
        <w:t xml:space="preserve">d) Giải pháp tối ưu được lựa chọn và lý do lựa chọn: </w:t>
      </w:r>
    </w:p>
    <w:p>
      <w:pPr>
        <w:pStyle w:val="Normal"/>
        <w:spacing w:lineRule="exact" w:line="340" w:before="120" w:after="120"/>
        <w:ind w:firstLine="709"/>
        <w:jc w:val="both"/>
        <w:rPr>
          <w:rFonts w:ascii="Times New Roman" w:hAnsi="Times New Roman" w:cs="Times New Roman"/>
          <w:color w:val="auto"/>
          <w:sz w:val="28"/>
          <w:szCs w:val="28"/>
          <w:lang w:eastAsia="en-US"/>
        </w:rPr>
      </w:pPr>
      <w:r>
        <w:rPr>
          <w:rFonts w:cs="Times New Roman" w:ascii="Times New Roman" w:hAnsi="Times New Roman"/>
          <w:color w:val="auto"/>
          <w:sz w:val="28"/>
          <w:szCs w:val="28"/>
          <w:lang w:eastAsia="en-US"/>
        </w:rPr>
        <w:t xml:space="preserve">Trên cơ sở phân tích, đánh giá tác động của các giải pháp, Bộ Nông nghiệp và Môi trường kiến nghị chọn Giải pháp 1 nhằm thể chế mục tiêu, nhiệm vụ, giải pháp tại Nghị quyết số 21-NQ/TW; phù hợp với chủ trương đổi mới xây dựng pháp luật theo hướng Luật chỉ quy định những vấn đề có tính nguyên tắc, khung, ổn định; phù hợp với nội dung của Luật Đất đai, Luật Thuế và </w:t>
      </w:r>
      <w:r>
        <w:rPr>
          <w:rFonts w:cs="Times New Roman" w:ascii="Times New Roman" w:hAnsi="Times New Roman"/>
          <w:iCs/>
          <w:color w:val="auto"/>
          <w:sz w:val="28"/>
          <w:szCs w:val="28"/>
          <w:lang w:eastAsia="en-US"/>
        </w:rPr>
        <w:t>các Luật khác có liên quan</w:t>
      </w:r>
      <w:r>
        <w:rPr>
          <w:rFonts w:cs="Times New Roman" w:ascii="Times New Roman" w:hAnsi="Times New Roman"/>
          <w:color w:val="auto"/>
          <w:sz w:val="28"/>
          <w:szCs w:val="28"/>
        </w:rPr>
        <w:t>.</w:t>
      </w:r>
    </w:p>
    <w:p>
      <w:pPr>
        <w:pStyle w:val="Heading2"/>
        <w:spacing w:lineRule="exact" w:line="340" w:before="120" w:after="120"/>
        <w:ind w:firstLine="709"/>
        <w:jc w:val="both"/>
        <w:rPr>
          <w:rFonts w:ascii="Times New Roman" w:hAnsi="Times New Roman" w:cs="Times New Roman"/>
          <w:b/>
          <w:bCs/>
          <w:i/>
          <w:color w:val="auto"/>
          <w:sz w:val="28"/>
          <w:szCs w:val="28"/>
        </w:rPr>
      </w:pPr>
      <w:r>
        <w:rPr>
          <w:rFonts w:cs="Times New Roman" w:ascii="Times New Roman" w:hAnsi="Times New Roman"/>
          <w:b/>
          <w:bCs/>
          <w:i/>
          <w:color w:val="auto"/>
          <w:sz w:val="28"/>
          <w:szCs w:val="28"/>
        </w:rPr>
        <w:t xml:space="preserve">5. Chính sách 5: Hoàn thiện quy định về quyền và nghĩa vụ của người sử dụng đất, chế độ sử dụng đất </w:t>
      </w:r>
    </w:p>
    <w:p>
      <w:pPr>
        <w:pStyle w:val="Heading3"/>
        <w:spacing w:lineRule="exact" w:line="340" w:before="120" w:after="120"/>
        <w:ind w:firstLine="709"/>
        <w:jc w:val="both"/>
        <w:rPr>
          <w:rFonts w:ascii="Times New Roman" w:hAnsi="Times New Roman" w:cs="Times New Roman"/>
          <w:i/>
          <w:iCs/>
          <w:color w:val="auto"/>
          <w:sz w:val="28"/>
          <w:lang w:eastAsia="en-US"/>
        </w:rPr>
      </w:pPr>
      <w:r>
        <w:rPr>
          <w:rFonts w:cs="Times New Roman" w:ascii="Times New Roman" w:hAnsi="Times New Roman"/>
          <w:i/>
          <w:iCs/>
          <w:color w:val="auto"/>
          <w:sz w:val="28"/>
          <w:lang w:eastAsia="en-US"/>
        </w:rPr>
        <w:t>a) Mục tiêu của chính sách:</w:t>
      </w:r>
    </w:p>
    <w:p>
      <w:pPr>
        <w:pStyle w:val="Normal"/>
        <w:spacing w:lineRule="exact" w:line="340" w:before="120" w:after="120"/>
        <w:ind w:firstLine="709"/>
        <w:jc w:val="both"/>
        <w:rPr>
          <w:rFonts w:ascii="Times New Roman" w:hAnsi="Times New Roman" w:cs="Times New Roman"/>
          <w:color w:val="auto"/>
          <w:sz w:val="28"/>
          <w:szCs w:val="28"/>
          <w:lang w:eastAsia="en-US"/>
        </w:rPr>
      </w:pPr>
      <w:r>
        <w:rPr>
          <w:rFonts w:cs="Times New Roman" w:ascii="Times New Roman" w:hAnsi="Times New Roman"/>
          <w:color w:val="auto"/>
          <w:sz w:val="28"/>
          <w:szCs w:val="28"/>
          <w:lang w:eastAsia="en-US"/>
        </w:rPr>
        <w:t xml:space="preserve">- Hoàn thiện thể chế, chính sách về quản lý và sử dụng đất đồng bộ và phù hợp với thể chế phát triển nền kinh tế thị trường định hướng xã hội chủ nghĩa. Nguồn lực đất đai được quản lý, khai thác, sử dụng bảo đảm tiết kiệm, bền vững, hiệu quả cao nhất; bảo đảm công bằng và ổn định xã hội, bảo đảm quốc phòng, an ninh, bảo vệ môi trường, thích ứng với biến đổi khí hậu. Thị trường bất động sản, trong đó có thị trường quyền sử dụng đất, trở thành kênh phân bổ đất đai hợp lý, công bằng, hiệu quả. </w:t>
      </w:r>
    </w:p>
    <w:p>
      <w:pPr>
        <w:pStyle w:val="Normal"/>
        <w:spacing w:lineRule="exact" w:line="340" w:before="120" w:after="120"/>
        <w:ind w:firstLine="709"/>
        <w:jc w:val="both"/>
        <w:rPr>
          <w:rFonts w:ascii="Times New Roman" w:hAnsi="Times New Roman" w:cs="Times New Roman"/>
          <w:color w:val="auto"/>
          <w:sz w:val="28"/>
          <w:szCs w:val="28"/>
          <w:lang w:eastAsia="en-US"/>
        </w:rPr>
      </w:pPr>
      <w:r>
        <w:rPr>
          <w:rFonts w:cs="Times New Roman" w:ascii="Times New Roman" w:hAnsi="Times New Roman"/>
          <w:color w:val="auto"/>
          <w:sz w:val="28"/>
          <w:szCs w:val="28"/>
          <w:lang w:eastAsia="en-US"/>
        </w:rPr>
        <w:t xml:space="preserve">- Tăng cường quản lý, nâng cao chất lượng đất, khắc phục tình trạng thoái hoá, suy giảm chất lượng đất. </w:t>
      </w:r>
      <w:r>
        <w:rPr>
          <w:rFonts w:cs="Times New Roman" w:ascii="Times New Roman" w:hAnsi="Times New Roman"/>
          <w:color w:val="auto"/>
          <w:sz w:val="28"/>
          <w:szCs w:val="28"/>
        </w:rPr>
        <w:t>Hoàn thiện các quy định đối với quản lý, sử dụng đất quốc phòng, an ninh kết hợp với sản xuất và xây dựng kinh tế;</w:t>
      </w:r>
      <w:r>
        <w:rPr>
          <w:rFonts w:cs="Times New Roman" w:ascii="Times New Roman" w:hAnsi="Times New Roman"/>
          <w:bCs/>
          <w:color w:val="auto"/>
          <w:sz w:val="28"/>
          <w:szCs w:val="28"/>
        </w:rPr>
        <w:t xml:space="preserve"> có cơ chế </w:t>
      </w:r>
      <w:r>
        <w:rPr>
          <w:rFonts w:cs="Times New Roman" w:ascii="Times New Roman" w:hAnsi="Times New Roman"/>
          <w:bCs/>
          <w:color w:val="auto"/>
          <w:spacing w:val="-4"/>
          <w:sz w:val="28"/>
          <w:szCs w:val="28"/>
        </w:rPr>
        <w:t>quản lý, kiểm soát việc</w:t>
      </w:r>
      <w:r>
        <w:rPr>
          <w:rFonts w:cs="Times New Roman" w:ascii="Times New Roman" w:hAnsi="Times New Roman"/>
          <w:b/>
          <w:bCs/>
          <w:color w:val="auto"/>
          <w:spacing w:val="-4"/>
          <w:sz w:val="28"/>
          <w:szCs w:val="28"/>
        </w:rPr>
        <w:t xml:space="preserve"> </w:t>
      </w:r>
      <w:r>
        <w:rPr>
          <w:rFonts w:cs="Times New Roman" w:ascii="Times New Roman" w:hAnsi="Times New Roman"/>
          <w:color w:val="auto"/>
          <w:spacing w:val="-4"/>
          <w:sz w:val="28"/>
          <w:szCs w:val="28"/>
        </w:rPr>
        <w:t xml:space="preserve">sử dụng đất kết hợp đa mục đích. Quy định chế độ sử </w:t>
      </w:r>
      <w:r>
        <w:rPr>
          <w:rFonts w:cs="Times New Roman" w:ascii="Times New Roman" w:hAnsi="Times New Roman"/>
          <w:color w:val="auto"/>
          <w:sz w:val="28"/>
          <w:szCs w:val="28"/>
        </w:rPr>
        <w:t xml:space="preserve">dụng đất xây dựng công trình trên không, công trình ngầm, đất hình thành từ hoạt động lấn biển để </w:t>
      </w:r>
      <w:r>
        <w:rPr>
          <w:rFonts w:cs="Times New Roman" w:ascii="Times New Roman" w:hAnsi="Times New Roman"/>
          <w:bCs/>
          <w:iCs/>
          <w:color w:val="auto"/>
          <w:sz w:val="28"/>
          <w:szCs w:val="28"/>
        </w:rPr>
        <w:t>quản lý khai thác hiệu quả không gian ngầm, không gian lấn biển tại các địa phương như một nguồn lực phát triển mới, bảo đảm quốc phòng, an ninh, an toàn, bền vững</w:t>
      </w:r>
      <w:r>
        <w:rPr>
          <w:rFonts w:cs="Times New Roman" w:ascii="Times New Roman" w:hAnsi="Times New Roman"/>
          <w:color w:val="auto"/>
          <w:sz w:val="28"/>
          <w:szCs w:val="28"/>
        </w:rPr>
        <w:t>.</w:t>
      </w:r>
      <w:r>
        <w:rPr>
          <w:rFonts w:cs="Times New Roman" w:ascii="Times New Roman" w:hAnsi="Times New Roman"/>
          <w:color w:val="auto"/>
          <w:sz w:val="28"/>
          <w:szCs w:val="28"/>
          <w:lang w:eastAsia="en-US"/>
        </w:rPr>
        <w:t xml:space="preserve"> </w:t>
      </w:r>
    </w:p>
    <w:p>
      <w:pPr>
        <w:pStyle w:val="Normal"/>
        <w:spacing w:lineRule="exact" w:line="340" w:before="120" w:after="120"/>
        <w:ind w:firstLine="709"/>
        <w:jc w:val="both"/>
        <w:rPr>
          <w:rFonts w:ascii="Times New Roman" w:hAnsi="Times New Roman" w:cs="Times New Roman"/>
          <w:color w:val="auto"/>
          <w:sz w:val="28"/>
          <w:szCs w:val="28"/>
          <w:lang w:eastAsia="en-US"/>
        </w:rPr>
      </w:pPr>
      <w:r>
        <w:rPr>
          <w:rFonts w:cs="Times New Roman" w:ascii="Times New Roman" w:hAnsi="Times New Roman"/>
          <w:iCs/>
          <w:color w:val="auto"/>
          <w:sz w:val="28"/>
          <w:szCs w:val="28"/>
        </w:rPr>
        <w:t>- Mở rộng đối tượng, hạn mức nhận chuyển quyền sử dụng đất nông nghiệp phù hợp với đặc điểm, điều kiện của từng vùng, địa phương, với việc chuyển đổi cơ cấu nghề, việc làm, lao động ở nông thôn</w:t>
      </w:r>
      <w:r>
        <w:rPr>
          <w:rFonts w:cs="Times New Roman" w:ascii="Times New Roman" w:hAnsi="Times New Roman"/>
          <w:color w:val="auto"/>
          <w:sz w:val="28"/>
          <w:szCs w:val="28"/>
        </w:rPr>
        <w:t xml:space="preserve">. Tạo điều kiện thuận lợi để người sử dụng đất nông nghiệp được chuyển đổi mục đích sản xuất cây trồng, vật nuôi, nâng cao hiệu quả sử dụng đất nông nghiệp theo quy hoạch. </w:t>
      </w:r>
      <w:bookmarkStart w:id="5" w:name="_Hlk236385576"/>
      <w:r>
        <w:rPr>
          <w:rFonts w:cs="Times New Roman" w:ascii="Times New Roman" w:hAnsi="Times New Roman"/>
          <w:color w:val="auto"/>
          <w:sz w:val="28"/>
          <w:szCs w:val="28"/>
        </w:rPr>
        <w:t xml:space="preserve">Tăng cường quản lý, </w:t>
      </w:r>
      <w:r>
        <w:rPr>
          <w:rFonts w:cs="Times New Roman" w:ascii="Times New Roman" w:hAnsi="Times New Roman"/>
          <w:bCs/>
          <w:color w:val="auto"/>
          <w:sz w:val="28"/>
          <w:szCs w:val="28"/>
        </w:rPr>
        <w:t>nâng cao</w:t>
      </w:r>
      <w:r>
        <w:rPr>
          <w:rFonts w:cs="Times New Roman" w:ascii="Times New Roman" w:hAnsi="Times New Roman"/>
          <w:color w:val="auto"/>
          <w:sz w:val="28"/>
          <w:szCs w:val="28"/>
        </w:rPr>
        <w:t xml:space="preserve"> chất lượng đất, khắc phục tình trạng thoái hoá, </w:t>
      </w:r>
      <w:bookmarkStart w:id="6" w:name="_Hlk236387284"/>
      <w:r>
        <w:rPr>
          <w:rFonts w:cs="Times New Roman" w:ascii="Times New Roman" w:hAnsi="Times New Roman"/>
          <w:color w:val="auto"/>
          <w:sz w:val="28"/>
          <w:szCs w:val="28"/>
        </w:rPr>
        <w:t>suy giảm chất lượng đất</w:t>
      </w:r>
      <w:bookmarkEnd w:id="5"/>
      <w:bookmarkEnd w:id="6"/>
      <w:r>
        <w:rPr>
          <w:rFonts w:cs="Times New Roman" w:ascii="Times New Roman" w:hAnsi="Times New Roman"/>
          <w:color w:val="auto"/>
          <w:sz w:val="28"/>
          <w:szCs w:val="28"/>
        </w:rPr>
        <w:t>.</w:t>
      </w:r>
    </w:p>
    <w:p>
      <w:pPr>
        <w:pStyle w:val="Heading3"/>
        <w:spacing w:lineRule="exact" w:line="340" w:before="120" w:after="120"/>
        <w:ind w:firstLine="709"/>
        <w:jc w:val="both"/>
        <w:rPr>
          <w:rFonts w:ascii="Times New Roman" w:hAnsi="Times New Roman" w:cs="Times New Roman"/>
          <w:i/>
          <w:iCs/>
          <w:color w:val="auto"/>
          <w:sz w:val="28"/>
          <w:lang w:eastAsia="en-US"/>
        </w:rPr>
      </w:pPr>
      <w:r>
        <w:rPr>
          <w:rFonts w:cs="Times New Roman" w:ascii="Times New Roman" w:hAnsi="Times New Roman"/>
          <w:i/>
          <w:iCs/>
          <w:color w:val="auto"/>
          <w:sz w:val="28"/>
          <w:lang w:eastAsia="en-US"/>
        </w:rPr>
        <w:t>b) Nội dung của chính sách:</w:t>
      </w:r>
    </w:p>
    <w:p>
      <w:pPr>
        <w:pStyle w:val="Normal"/>
        <w:spacing w:lineRule="exact" w:line="340" w:before="120" w:after="120"/>
        <w:ind w:firstLine="709"/>
        <w:jc w:val="both"/>
        <w:rPr>
          <w:rFonts w:ascii="Times New Roman" w:hAnsi="Times New Roman" w:cs="Times New Roman"/>
          <w:color w:val="auto"/>
          <w:sz w:val="28"/>
          <w:szCs w:val="28"/>
          <w:lang w:eastAsia="en-US"/>
        </w:rPr>
      </w:pPr>
      <w:r>
        <w:rPr>
          <w:rFonts w:cs="Times New Roman" w:ascii="Times New Roman" w:hAnsi="Times New Roman"/>
          <w:color w:val="auto"/>
          <w:sz w:val="28"/>
          <w:szCs w:val="28"/>
          <w:lang w:eastAsia="en-US"/>
        </w:rPr>
        <w:t xml:space="preserve">- Bổ sung quy định về tháo gỡ khó khăn, vướng mắc về chuyển nhượng dự án bất động sản, điều chỉnh thời hạn sử dụng đất cho chủ đầu tư mới do nhận chuyển nhượng, giải thể, phá sản; điều kiện bán tài sản gắn liền với đất, quyền thuê trong hợp đồng thuê đất được Nhà nước cho thuê đất thu tiền thuê đất hằng năm; tách thửa đất, hợp thửa đất; đăng ký biến động để đồng bộ với pháp luật liên quan, đáp ứng nhu cầu chuyển đổi số, mở rộng giấy tờ về quyền sử dụng đất; mở rộng các trường hợp sử dụng đất đa mục đích đang quy định tại Nghị quyết số 254/2025/QH15. </w:t>
      </w:r>
    </w:p>
    <w:p>
      <w:pPr>
        <w:pStyle w:val="Normal"/>
        <w:spacing w:lineRule="exact" w:line="340" w:before="120" w:after="120"/>
        <w:ind w:firstLine="709"/>
        <w:jc w:val="both"/>
        <w:rPr>
          <w:rFonts w:ascii="Times New Roman" w:hAnsi="Times New Roman" w:cs="Times New Roman"/>
          <w:color w:val="auto"/>
          <w:sz w:val="28"/>
          <w:szCs w:val="28"/>
          <w:lang w:eastAsia="en-US"/>
        </w:rPr>
      </w:pPr>
      <w:r>
        <w:rPr>
          <w:rFonts w:cs="Times New Roman" w:ascii="Times New Roman" w:hAnsi="Times New Roman"/>
          <w:color w:val="auto"/>
          <w:sz w:val="28"/>
          <w:szCs w:val="28"/>
          <w:lang w:eastAsia="en-US"/>
        </w:rPr>
        <w:t>- Sửa đổi, bổ sung quy định về phân loại đất theo hướng đơn giản để phục vụ công tác quản lý nhà nước về đất đai; nguyên tắc sử dụng đất, khuyến khích đầu tư vào sử dụng đất, trách nhiệm của Nhà nước đối với người sử dụng đất theo hướng quản lý đất đai chặt chẽ, minh bạch, công bằng, hiệu quả, bền vững, đưa đất đai thực sự trở thành nguồn lực chiến lược, lợi thế cạnh tranh và động lực phát triển đất nước trong giai đoạn mới.</w:t>
      </w:r>
    </w:p>
    <w:p>
      <w:pPr>
        <w:pStyle w:val="Normal"/>
        <w:spacing w:lineRule="exact" w:line="340" w:before="120" w:after="120"/>
        <w:ind w:firstLine="709"/>
        <w:jc w:val="both"/>
        <w:rPr>
          <w:rFonts w:ascii="Times New Roman" w:hAnsi="Times New Roman" w:cs="Times New Roman"/>
          <w:color w:val="auto"/>
          <w:sz w:val="28"/>
          <w:szCs w:val="28"/>
          <w:lang w:eastAsia="en-US"/>
        </w:rPr>
      </w:pPr>
      <w:r>
        <w:rPr>
          <w:rFonts w:cs="Times New Roman" w:ascii="Times New Roman" w:hAnsi="Times New Roman"/>
          <w:color w:val="auto"/>
          <w:sz w:val="28"/>
          <w:szCs w:val="28"/>
          <w:lang w:eastAsia="en-US"/>
        </w:rPr>
        <w:t>- Bổ sung quy định nhận quyền sử dụng đất đối với các trường hợp được Nhà nước cho thuê đất thu tiền thuê đất hằng năm mà thực hiện chia, tách, sáp nhập, chuyển đổi loại hình doanh nghiệp; xử lý quyền sử dụng đất khi doanh nghiệp phá sản, tái cơ cấu hoặc chuyển giao dự án, bảo vệ quyền và lợi ích hợp pháp của các bên liên quan; có cơ chế đặc thù để xử lý dứt điểm, công khai, minh bạch đối với đất các loại đất được sử dụng đa mục đích.</w:t>
      </w:r>
    </w:p>
    <w:p>
      <w:pPr>
        <w:pStyle w:val="Normal"/>
        <w:spacing w:lineRule="exact" w:line="340" w:before="120" w:after="120"/>
        <w:ind w:firstLine="709"/>
        <w:jc w:val="both"/>
        <w:rPr>
          <w:rFonts w:ascii="Times New Roman" w:hAnsi="Times New Roman" w:cs="Times New Roman"/>
          <w:color w:val="auto"/>
          <w:sz w:val="28"/>
          <w:szCs w:val="28"/>
          <w:lang w:eastAsia="en-US"/>
        </w:rPr>
      </w:pPr>
      <w:r>
        <w:rPr>
          <w:rFonts w:cs="Times New Roman" w:ascii="Times New Roman" w:hAnsi="Times New Roman"/>
          <w:color w:val="auto"/>
          <w:sz w:val="28"/>
          <w:szCs w:val="28"/>
          <w:lang w:eastAsia="en-US"/>
        </w:rPr>
        <w:t>- Bổ sung chính sách mới về phát triển thị trường cho thuê đất nông nghiệp chuyên nghiệp, thúc đẩy tích tụ, tập trung đất đai cho sản xuất nông nghiệp quy mô lớn, công nghệ cao trên cơ sở tự nguyện, minh bạch, bảo vệ quyền lợi của nông dân;</w:t>
      </w:r>
    </w:p>
    <w:p>
      <w:pPr>
        <w:pStyle w:val="Normal"/>
        <w:spacing w:lineRule="exact" w:line="340" w:before="120" w:after="120"/>
        <w:ind w:firstLine="709"/>
        <w:jc w:val="both"/>
        <w:rPr>
          <w:rFonts w:ascii="Times New Roman" w:hAnsi="Times New Roman" w:cs="Times New Roman"/>
          <w:color w:val="auto"/>
          <w:sz w:val="28"/>
          <w:szCs w:val="28"/>
          <w:lang w:eastAsia="en-US"/>
        </w:rPr>
      </w:pPr>
      <w:r>
        <w:rPr>
          <w:rFonts w:cs="Times New Roman" w:ascii="Times New Roman" w:hAnsi="Times New Roman"/>
          <w:color w:val="auto"/>
          <w:sz w:val="28"/>
          <w:szCs w:val="28"/>
          <w:lang w:eastAsia="en-US"/>
        </w:rPr>
        <w:t>- Bổ sung quy định chế độ sử dụng đất một số trường hợp như khu phi thuế quan, trung tâm tài chính quốc tế, khu thương mại tự do, đất xây dựng nhà chung cư và một số loại hình nhà ở khác...; bổ sung chính sách “khuyến khích” cho các doanh nghiệp khởi nghiệp sáng tạo trong và ngoài khu công nghệ cao, tổ chức, cá nhân đầu tư vào cụm, khu công nghiệp sáng tạo văn hóa; sửa đổi, bổ sung quy định đối với quản lý, sử dụng đất quốc phòng, an ninh kết hợp với sản xuất và xây dựng kinh tế, đất xây dựng công trình trên không, công trình ngầm, đất hình thành từ hoạt động lấn biển; hỗ trợ doanh nghiệp nhỏ và vừa, doanh nghiệp công nghiệp hỗ trợ, doanh nghiệp đổi mới sáng tạo thuê nhà, đất là tài sản công chưa sử dụng hoặc không sử dụng tại địa phương.</w:t>
      </w:r>
    </w:p>
    <w:p>
      <w:pPr>
        <w:pStyle w:val="Normal"/>
        <w:spacing w:lineRule="exact" w:line="340" w:before="120" w:after="120"/>
        <w:ind w:firstLine="709"/>
        <w:jc w:val="both"/>
        <w:rPr>
          <w:rFonts w:ascii="Times New Roman" w:hAnsi="Times New Roman" w:cs="Times New Roman"/>
          <w:color w:val="auto"/>
          <w:sz w:val="28"/>
          <w:szCs w:val="28"/>
          <w:lang w:eastAsia="en-US"/>
        </w:rPr>
      </w:pPr>
      <w:r>
        <w:rPr>
          <w:rFonts w:cs="Times New Roman" w:ascii="Times New Roman" w:hAnsi="Times New Roman"/>
          <w:color w:val="auto"/>
          <w:sz w:val="28"/>
          <w:szCs w:val="28"/>
          <w:lang w:eastAsia="en-US"/>
        </w:rPr>
        <w:t>- Quy định hạn mức đất lúa theo hướng chuyển từ quy định cứng về diện tích tối thiểu sang quy định linh hoạt chuyển đổi diện tích đất trồng lúa kém hiệu quả nhưng phải quản lý chặt chẽ việc chuyển đổi, tránh áp dụng tuỳ tiện, bảo đảm an ninh lương thực quốc gia để thể chế hóa đầy đủ, đồng bộ các quan điểm, chủ trương của Đảng tại Kết luận số 18-KL/TW.</w:t>
      </w:r>
    </w:p>
    <w:p>
      <w:pPr>
        <w:pStyle w:val="Normal"/>
        <w:spacing w:lineRule="exact" w:line="340" w:before="120" w:after="120"/>
        <w:ind w:firstLine="709"/>
        <w:jc w:val="both"/>
        <w:rPr>
          <w:rFonts w:ascii="Times New Roman" w:hAnsi="Times New Roman" w:cs="Times New Roman"/>
          <w:color w:val="auto"/>
          <w:spacing w:val="-4"/>
          <w:sz w:val="28"/>
          <w:szCs w:val="28"/>
          <w:lang w:eastAsia="en-US"/>
        </w:rPr>
      </w:pPr>
      <w:r>
        <w:rPr>
          <w:rFonts w:cs="Times New Roman" w:ascii="Times New Roman" w:hAnsi="Times New Roman"/>
          <w:color w:val="auto"/>
          <w:spacing w:val="-4"/>
          <w:sz w:val="28"/>
          <w:szCs w:val="28"/>
          <w:lang w:eastAsia="en-US"/>
        </w:rPr>
        <w:t>- Bổ sung một số quy định cụ thể để giải quyết trường hợp chưa có phương án sử dụng đất của các nông lâm trường khi sắp xếp trước đây mà nay đã giải thể, chưa được cấp Giấy chứng nhận cho diện tích đã bàn giao về địa phương.</w:t>
      </w:r>
    </w:p>
    <w:p>
      <w:pPr>
        <w:pStyle w:val="Normal"/>
        <w:spacing w:lineRule="exact" w:line="340" w:before="120" w:after="120"/>
        <w:ind w:firstLine="709"/>
        <w:jc w:val="both"/>
        <w:rPr>
          <w:rFonts w:ascii="Times New Roman" w:hAnsi="Times New Roman" w:cs="Times New Roman"/>
          <w:color w:val="auto"/>
          <w:sz w:val="28"/>
          <w:szCs w:val="28"/>
          <w:lang w:eastAsia="en-US"/>
        </w:rPr>
      </w:pPr>
      <w:r>
        <w:rPr>
          <w:rFonts w:cs="Times New Roman" w:ascii="Times New Roman" w:hAnsi="Times New Roman"/>
          <w:color w:val="auto"/>
          <w:sz w:val="28"/>
          <w:szCs w:val="28"/>
          <w:lang w:eastAsia="en-US"/>
        </w:rPr>
        <w:t>- Sửa đổi, bổ sung một số Luật có liên quan đến đất đai để đảm bảo tính thống nhất, đồng bộ của hệ thống pháp luật.</w:t>
      </w:r>
    </w:p>
    <w:p>
      <w:pPr>
        <w:pStyle w:val="Normal"/>
        <w:spacing w:lineRule="exact" w:line="340" w:before="120" w:after="120"/>
        <w:ind w:firstLine="709"/>
        <w:jc w:val="both"/>
        <w:rPr>
          <w:rFonts w:ascii="Times New Roman" w:hAnsi="Times New Roman" w:cs="Times New Roman"/>
          <w:color w:val="auto"/>
          <w:sz w:val="28"/>
          <w:szCs w:val="28"/>
          <w:lang w:val="zu-ZA" w:eastAsia="en-US"/>
        </w:rPr>
      </w:pPr>
      <w:r>
        <w:rPr>
          <w:rFonts w:cs="Times New Roman" w:ascii="Times New Roman" w:hAnsi="Times New Roman"/>
          <w:iCs/>
          <w:color w:val="auto"/>
          <w:sz w:val="28"/>
          <w:szCs w:val="28"/>
          <w:lang w:val="zu-ZA" w:eastAsia="en-US"/>
        </w:rPr>
        <w:t>-</w:t>
      </w:r>
      <w:r>
        <w:rPr>
          <w:rFonts w:cs="Times New Roman" w:ascii="Times New Roman" w:hAnsi="Times New Roman"/>
          <w:color w:val="auto"/>
          <w:sz w:val="28"/>
          <w:szCs w:val="28"/>
          <w:lang w:eastAsia="en-US"/>
        </w:rPr>
        <w:t xml:space="preserve"> </w:t>
      </w:r>
      <w:r>
        <w:rPr>
          <w:rFonts w:cs="Times New Roman" w:ascii="Times New Roman" w:hAnsi="Times New Roman"/>
          <w:color w:val="auto"/>
          <w:sz w:val="28"/>
          <w:szCs w:val="28"/>
          <w:lang w:val="zu-ZA" w:eastAsia="en-US"/>
        </w:rPr>
        <w:t xml:space="preserve">Hoàn thiện quy định </w:t>
      </w:r>
      <w:r>
        <w:rPr>
          <w:rFonts w:cs="Times New Roman" w:ascii="Times New Roman" w:hAnsi="Times New Roman"/>
          <w:color w:val="auto"/>
          <w:sz w:val="28"/>
          <w:szCs w:val="28"/>
          <w:lang w:eastAsia="en-US"/>
        </w:rPr>
        <w:t>nhận quyền sử dụng đất đối với các trường hợp được Nhà nước cho thuê đất thu tiền thuê đất hằng năm mà thực hiện chia, tách, sáp nhập chuyển đổi loại hình doanh nghiệp</w:t>
      </w:r>
      <w:r>
        <w:rPr>
          <w:rFonts w:cs="Times New Roman" w:ascii="Times New Roman" w:hAnsi="Times New Roman"/>
          <w:color w:val="auto"/>
          <w:sz w:val="28"/>
          <w:szCs w:val="28"/>
          <w:lang w:val="zu-ZA" w:eastAsia="en-US"/>
        </w:rPr>
        <w:t>.</w:t>
      </w:r>
    </w:p>
    <w:p>
      <w:pPr>
        <w:pStyle w:val="Heading3"/>
        <w:spacing w:lineRule="exact" w:line="340" w:before="120" w:after="120"/>
        <w:ind w:firstLine="709"/>
        <w:jc w:val="both"/>
        <w:rPr>
          <w:rFonts w:ascii="Times New Roman" w:hAnsi="Times New Roman" w:cs="Times New Roman"/>
          <w:i/>
          <w:iCs/>
          <w:color w:val="auto"/>
          <w:sz w:val="28"/>
          <w:lang w:eastAsia="en-US"/>
        </w:rPr>
      </w:pPr>
      <w:r>
        <w:rPr>
          <w:rFonts w:cs="Times New Roman" w:ascii="Times New Roman" w:hAnsi="Times New Roman"/>
          <w:i/>
          <w:iCs/>
          <w:color w:val="auto"/>
          <w:sz w:val="28"/>
          <w:lang w:eastAsia="en-US"/>
        </w:rPr>
        <w:t xml:space="preserve">c) Các giải pháp thực hiện chính sách: </w:t>
      </w:r>
    </w:p>
    <w:p>
      <w:pPr>
        <w:pStyle w:val="Normal"/>
        <w:spacing w:lineRule="exact" w:line="340" w:before="120" w:after="120"/>
        <w:ind w:firstLine="709"/>
        <w:jc w:val="both"/>
        <w:rPr>
          <w:rFonts w:ascii="Times New Roman" w:hAnsi="Times New Roman" w:cs="Times New Roman"/>
          <w:color w:val="auto"/>
          <w:sz w:val="28"/>
          <w:szCs w:val="28"/>
          <w:u w:val="single"/>
          <w:lang w:eastAsia="en-US"/>
        </w:rPr>
      </w:pPr>
      <w:r>
        <w:rPr>
          <w:rFonts w:cs="Times New Roman" w:ascii="Times New Roman" w:hAnsi="Times New Roman"/>
          <w:color w:val="auto"/>
          <w:sz w:val="28"/>
          <w:szCs w:val="28"/>
          <w:u w:val="single"/>
          <w:lang w:eastAsia="en-US"/>
        </w:rPr>
        <w:t xml:space="preserve">- Giải pháp 1: </w:t>
      </w:r>
    </w:p>
    <w:p>
      <w:pPr>
        <w:pStyle w:val="Normal"/>
        <w:spacing w:lineRule="exact" w:line="340" w:before="120" w:after="120"/>
        <w:ind w:firstLine="709"/>
        <w:jc w:val="both"/>
        <w:rPr>
          <w:rFonts w:ascii="Times New Roman" w:hAnsi="Times New Roman" w:cs="Times New Roman"/>
          <w:color w:val="auto"/>
          <w:sz w:val="28"/>
          <w:szCs w:val="28"/>
          <w:lang w:eastAsia="en-US"/>
        </w:rPr>
      </w:pPr>
      <w:r>
        <w:rPr>
          <w:rFonts w:cs="Times New Roman" w:ascii="Times New Roman" w:hAnsi="Times New Roman"/>
          <w:color w:val="auto"/>
          <w:sz w:val="28"/>
          <w:szCs w:val="28"/>
          <w:lang w:eastAsia="en-US"/>
        </w:rPr>
        <w:t>+ Luật hóa các quy định về thực hiện quyền, chế độ sử dụng đất, đăng ký đất đai, tài sản gắn liền với đất, cấp Giấy chứng nhận, tách thửa, hợp thửa đất, hệ thống thông tin đất đai tại Nghị quyết số 254/2025/QH15 của Quốc hội.</w:t>
      </w:r>
    </w:p>
    <w:p>
      <w:pPr>
        <w:pStyle w:val="Normal"/>
        <w:spacing w:lineRule="exact" w:line="340" w:before="120" w:after="120"/>
        <w:ind w:firstLine="709"/>
        <w:jc w:val="both"/>
        <w:rPr>
          <w:rFonts w:ascii="Times New Roman" w:hAnsi="Times New Roman" w:cs="Times New Roman"/>
          <w:color w:val="auto"/>
          <w:sz w:val="28"/>
          <w:szCs w:val="28"/>
          <w:lang w:eastAsia="en-US"/>
        </w:rPr>
      </w:pPr>
      <w:r>
        <w:rPr>
          <w:rFonts w:cs="Times New Roman" w:ascii="Times New Roman" w:hAnsi="Times New Roman"/>
          <w:color w:val="auto"/>
          <w:sz w:val="28"/>
          <w:szCs w:val="28"/>
          <w:lang w:eastAsia="en-US"/>
        </w:rPr>
        <w:t>+ Sửa đổi, bổ sung nội dung liên quan đến quy định chung, quyền hạn và trách nhiệm của Nhà nước, quyền và nghĩa vụ của công dân đối với đất đai, quyền và nghĩa vụ của người sử dụng đất, về thời hạn sử dụng đất, chế độ sử dụng một số loại đất tại Luật Đất đai và các vản bản hướng dẫn thi hành.</w:t>
      </w:r>
    </w:p>
    <w:p>
      <w:pPr>
        <w:pStyle w:val="Normal"/>
        <w:spacing w:lineRule="exact" w:line="340" w:before="120" w:after="120"/>
        <w:ind w:firstLine="709"/>
        <w:jc w:val="both"/>
        <w:rPr>
          <w:rFonts w:ascii="Times New Roman" w:hAnsi="Times New Roman" w:cs="Times New Roman"/>
          <w:color w:val="auto"/>
          <w:sz w:val="28"/>
          <w:szCs w:val="28"/>
          <w:lang w:eastAsia="en-US"/>
        </w:rPr>
      </w:pPr>
      <w:r>
        <w:rPr>
          <w:rFonts w:cs="Times New Roman" w:ascii="Times New Roman" w:hAnsi="Times New Roman"/>
          <w:color w:val="auto"/>
          <w:sz w:val="28"/>
          <w:szCs w:val="28"/>
          <w:lang w:eastAsia="en-US"/>
        </w:rPr>
        <w:t>+ Đồng bộ 11 Luật có nội dung sửa đổi, bổ sung Luật Đất đai như: Luật Quy hoạch đô thị và nông thôn số 47/2024/QH15; Luật Đầu tư công số 58/2024/QH15;  Luật Công nghiệp công nghệ số 71/2025/QH15; Luật Thanh tra số 84/2025/QH15; Luật Khoa học, công nghệ và đổi mới sáng tạo số 93/2025/QH15; Luật Đường sắt số 95/2025/QH15; Luật An ninh mạng số 116/2025/QH15; Luật Hàng không dân dụng Việt Nam số 130/2025/QH15; Luật Phục hồi, phá sản số 142/2025/QH15; Luật sửa đổi, bổ sung một số điều của 15 luật trong lĩnh vực nông nghiệp và môi trường số 146/2025/QH15; Luật sửa đổi, bổ sung một số điều của Luật Địa chất và khoáng sản số 147/2025/QH15.</w:t>
      </w:r>
    </w:p>
    <w:p>
      <w:pPr>
        <w:pStyle w:val="Normal"/>
        <w:spacing w:lineRule="exact" w:line="340" w:before="120" w:after="120"/>
        <w:ind w:firstLine="709"/>
        <w:jc w:val="both"/>
        <w:rPr>
          <w:rFonts w:ascii="Times New Roman" w:hAnsi="Times New Roman" w:cs="Times New Roman"/>
          <w:color w:val="auto"/>
          <w:sz w:val="28"/>
          <w:szCs w:val="28"/>
          <w:lang w:eastAsia="en-US"/>
        </w:rPr>
      </w:pPr>
      <w:r>
        <w:rPr>
          <w:rFonts w:cs="Times New Roman" w:ascii="Times New Roman" w:hAnsi="Times New Roman"/>
          <w:color w:val="auto"/>
          <w:sz w:val="28"/>
          <w:szCs w:val="28"/>
          <w:u w:val="single"/>
          <w:lang w:eastAsia="en-US"/>
        </w:rPr>
        <w:t xml:space="preserve">Giải pháp 2: </w:t>
      </w:r>
      <w:r>
        <w:rPr>
          <w:rFonts w:cs="Times New Roman" w:ascii="Times New Roman" w:hAnsi="Times New Roman"/>
          <w:color w:val="auto"/>
          <w:sz w:val="28"/>
          <w:szCs w:val="28"/>
          <w:lang w:eastAsia="en-US"/>
        </w:rPr>
        <w:t>Tiếp tục thực hiện các quy định tại Luật Đất đai năm 2024.</w:t>
      </w:r>
    </w:p>
    <w:p>
      <w:pPr>
        <w:pStyle w:val="Heading3"/>
        <w:spacing w:lineRule="exact" w:line="340" w:before="120" w:after="120"/>
        <w:ind w:firstLine="709"/>
        <w:jc w:val="both"/>
        <w:rPr>
          <w:rFonts w:ascii="Times New Roman" w:hAnsi="Times New Roman" w:cs="Times New Roman"/>
          <w:i/>
          <w:iCs/>
          <w:color w:val="auto"/>
          <w:sz w:val="28"/>
          <w:lang w:eastAsia="en-US"/>
        </w:rPr>
      </w:pPr>
      <w:r>
        <w:rPr>
          <w:rFonts w:cs="Times New Roman" w:ascii="Times New Roman" w:hAnsi="Times New Roman"/>
          <w:i/>
          <w:iCs/>
          <w:color w:val="auto"/>
          <w:sz w:val="28"/>
          <w:lang w:eastAsia="en-US"/>
        </w:rPr>
        <w:t xml:space="preserve">d) Giải pháp tối ưu được lựa chọn và lý do lựa chọn: </w:t>
      </w:r>
    </w:p>
    <w:p>
      <w:pPr>
        <w:pStyle w:val="Normal"/>
        <w:spacing w:lineRule="exact" w:line="340" w:before="120" w:after="120"/>
        <w:ind w:firstLine="709"/>
        <w:jc w:val="both"/>
        <w:rPr>
          <w:rFonts w:ascii="Times New Roman" w:hAnsi="Times New Roman" w:cs="Times New Roman"/>
          <w:color w:val="auto"/>
          <w:sz w:val="28"/>
          <w:szCs w:val="28"/>
          <w:lang w:eastAsia="en-US"/>
        </w:rPr>
      </w:pPr>
      <w:r>
        <w:rPr>
          <w:rFonts w:cs="Times New Roman" w:ascii="Times New Roman" w:hAnsi="Times New Roman"/>
          <w:color w:val="auto"/>
          <w:sz w:val="28"/>
          <w:szCs w:val="28"/>
          <w:lang w:eastAsia="en-US"/>
        </w:rPr>
        <w:t>Trên cơ sở phân tích, đánh giá tác động của các giải pháp, Bộ Nông nghiệp và Môi trường kiến nghị chọn Giải pháp 1 nhằm sử dụng đất đai hợp lý, tiết kiệm, tập trung đất đai quy mô lớn cho sản xuất nông nghiệp hàng hóa, bảo vệ quyền sử dụng đất của nông dân. Việc phát triển thị trường cho thuê đất nông nghiệp chuyên nghiệp là yêu cầu khách quan nhằm thực hiện chủ trương của Đảng về tích tụ, tập trung đất đai phục vụ phát triển nền nông nghiệp hàng hóa quy mô lớn, hiện đại, ứng dụng công nghệ cao và nâng cao hiệu quả sử dụng đất nông nghiệp. Giải pháp này bảo đảm nguyên tắc tự nguyện, công khai, minh bạch trong các giao dịch về đất đai, đồng thời vẫn bảo vệ đầy đủ quyền và lợi ích hợp pháp của người sử dụng đất, đặc biệt là người nông dân. Bên cạnh đó, việc hoàn thiện cơ chế xử lý quyền sử dụng đất trong trường hợp doanh nghiệp phá sản, tái cơ cấu hoặc chuyển giao dự án góp phần khắc phục khoảng trống pháp lý, hạn chế rủi ro cho thị trường, bảo đảm quyền lợi của người sử dụng đất, nhà đầu tư, tổ chức tín dụng và các chủ thể có liên quan; đáp ứng yêu cầu thực tiễn về quản lý, sử dụng đất, bảo đảm khai thác hiệu quả nguồn lực đất đai, phát triển kinh tế - xã hội.</w:t>
      </w:r>
    </w:p>
    <w:p>
      <w:pPr>
        <w:pStyle w:val="Heading2"/>
        <w:spacing w:lineRule="exact" w:line="340" w:before="120" w:after="120"/>
        <w:ind w:firstLine="709"/>
        <w:jc w:val="both"/>
        <w:rPr>
          <w:rFonts w:ascii="Times New Roman" w:hAnsi="Times New Roman" w:eastAsia="Times New Roman" w:cs="Times New Roman"/>
          <w:iCs/>
          <w:color w:val="auto"/>
          <w:sz w:val="28"/>
          <w:szCs w:val="28"/>
          <w:lang w:eastAsia="en-US"/>
        </w:rPr>
      </w:pPr>
      <w:r>
        <w:rPr>
          <w:rFonts w:cs="Times New Roman" w:ascii="Times New Roman" w:hAnsi="Times New Roman"/>
          <w:b/>
          <w:bCs/>
          <w:i/>
          <w:iCs/>
          <w:color w:val="auto"/>
          <w:sz w:val="28"/>
          <w:szCs w:val="28"/>
        </w:rPr>
        <w:t>6. Chính sách 6: Đẩy mạnh cải cách hành chính, chuyển đổi số và nâng cao năng lực quản lý nhà nước về đất đai; phân cấp, phân quyền</w:t>
      </w:r>
    </w:p>
    <w:p>
      <w:pPr>
        <w:pStyle w:val="Heading3"/>
        <w:spacing w:lineRule="exact" w:line="340" w:before="120" w:after="120"/>
        <w:ind w:firstLine="709"/>
        <w:jc w:val="both"/>
        <w:rPr>
          <w:rFonts w:ascii="Times New Roman" w:hAnsi="Times New Roman" w:cs="Times New Roman"/>
          <w:i/>
          <w:iCs/>
          <w:color w:val="auto"/>
          <w:sz w:val="28"/>
          <w:lang w:eastAsia="en-US"/>
        </w:rPr>
      </w:pPr>
      <w:r>
        <w:rPr>
          <w:rFonts w:cs="Times New Roman" w:ascii="Times New Roman" w:hAnsi="Times New Roman"/>
          <w:i/>
          <w:iCs/>
          <w:color w:val="auto"/>
          <w:sz w:val="28"/>
          <w:lang w:eastAsia="en-US"/>
        </w:rPr>
        <w:t>a) Mục tiêu của chính sách:</w:t>
      </w:r>
    </w:p>
    <w:p>
      <w:pPr>
        <w:pStyle w:val="Normal"/>
        <w:spacing w:lineRule="exact" w:line="340" w:before="120" w:after="120"/>
        <w:ind w:firstLine="709"/>
        <w:jc w:val="both"/>
        <w:rPr>
          <w:rFonts w:ascii="Times New Roman" w:hAnsi="Times New Roman" w:cs="Times New Roman"/>
          <w:color w:val="auto"/>
          <w:sz w:val="28"/>
          <w:szCs w:val="28"/>
          <w:lang w:eastAsia="en-US"/>
        </w:rPr>
      </w:pPr>
      <w:r>
        <w:rPr>
          <w:rFonts w:cs="Times New Roman" w:ascii="Times New Roman" w:hAnsi="Times New Roman"/>
          <w:color w:val="auto"/>
          <w:sz w:val="28"/>
          <w:szCs w:val="28"/>
          <w:lang w:eastAsia="en-US"/>
        </w:rPr>
        <w:t xml:space="preserve">- Hoàn thiện thể chế, chính sách về quản lý và sử dụng đất đồng bộ và phù hợp với thể chế phát triển nền kinh tế thị trường định hướng xã hội chủ nghĩa. Nguồn lực đất đai được quản lý, khai thác, sử dụng bảo đảm tiết kiệm, bền vững, hiệu quả cao nhất; </w:t>
      </w:r>
      <w:r>
        <w:rPr>
          <w:rFonts w:cs="Times New Roman" w:ascii="Times New Roman" w:hAnsi="Times New Roman"/>
          <w:color w:val="auto"/>
          <w:sz w:val="28"/>
          <w:szCs w:val="28"/>
        </w:rPr>
        <w:t>bảo đảm công bằng và ổn định xã hội, bảo đảm quốc phòng, an ninh, bảo vệ môi trường, thích ứng với biến đổi khí hậu</w:t>
      </w:r>
      <w:r>
        <w:rPr>
          <w:rFonts w:cs="Times New Roman" w:ascii="Times New Roman" w:hAnsi="Times New Roman"/>
          <w:color w:val="auto"/>
          <w:sz w:val="28"/>
          <w:szCs w:val="28"/>
          <w:lang w:eastAsia="en-US"/>
        </w:rPr>
        <w:t>. Thị trường bất động sản, trong đó có thị trường quyền sử dụng đất, trở thành kênh phân bổ đất đai hợp lý, công bằng, hiệu quả.</w:t>
      </w:r>
    </w:p>
    <w:p>
      <w:pPr>
        <w:pStyle w:val="Normal"/>
        <w:spacing w:lineRule="exact" w:line="340" w:before="120" w:after="120"/>
        <w:ind w:firstLine="709"/>
        <w:jc w:val="both"/>
        <w:rPr>
          <w:rFonts w:ascii="Times New Roman" w:hAnsi="Times New Roman" w:cs="Times New Roman"/>
          <w:color w:val="auto"/>
          <w:sz w:val="28"/>
          <w:szCs w:val="28"/>
          <w:lang w:eastAsia="en-US"/>
        </w:rPr>
      </w:pPr>
      <w:r>
        <w:rPr>
          <w:rFonts w:cs="Times New Roman" w:ascii="Times New Roman" w:hAnsi="Times New Roman"/>
          <w:color w:val="auto"/>
          <w:sz w:val="28"/>
          <w:szCs w:val="28"/>
          <w:lang w:eastAsia="en-US"/>
        </w:rPr>
        <w:t>- Chuyển mạnh từ tư duy quản lý hành chính sang tư duy quản trị hiện đại  về đất đai, bảo đảm quản lý thống nhất, công khai, minh bạch, hiệu quả, vận hành thông suốt trên nền tảng số, dữ liệu số và ứng dụng mạnh mẽ khoa học, công nghệ, đổi mới sáng tạo, chuyển đổi số, trí tuệ nhân tạo.</w:t>
      </w:r>
    </w:p>
    <w:p>
      <w:pPr>
        <w:pStyle w:val="Normal"/>
        <w:spacing w:lineRule="exact" w:line="340" w:before="120" w:after="120"/>
        <w:ind w:firstLine="709"/>
        <w:jc w:val="both"/>
        <w:rPr>
          <w:rFonts w:ascii="Times New Roman" w:hAnsi="Times New Roman" w:cs="Times New Roman"/>
          <w:color w:val="auto"/>
          <w:sz w:val="28"/>
          <w:szCs w:val="28"/>
          <w:lang w:eastAsia="en-US"/>
        </w:rPr>
      </w:pPr>
      <w:r>
        <w:rPr>
          <w:rFonts w:cs="Times New Roman" w:ascii="Times New Roman" w:hAnsi="Times New Roman"/>
          <w:color w:val="auto"/>
          <w:sz w:val="28"/>
          <w:szCs w:val="28"/>
          <w:lang w:eastAsia="en-US"/>
        </w:rPr>
        <w:t xml:space="preserve">- Củng cố, hoàn thiện hệ thống tổ chức bộ máy quản lý đất đai tinh gọn, hiệu lực, hiệu quả, tập trung, đồng bộ, thống nhất; </w:t>
      </w:r>
      <w:r>
        <w:rPr>
          <w:rFonts w:cs="Times New Roman" w:ascii="Times New Roman" w:hAnsi="Times New Roman"/>
          <w:color w:val="auto"/>
          <w:sz w:val="28"/>
          <w:szCs w:val="28"/>
        </w:rPr>
        <w:t>tăng cường phân cấp, phân quyền đi đôi với kiểm tra, giám sát, đẩy mạnh cải cách thủ tục hành chính trong chuyển mục đích sử dụng đất.</w:t>
      </w:r>
      <w:r>
        <w:rPr>
          <w:rFonts w:cs="Times New Roman" w:ascii="Times New Roman" w:hAnsi="Times New Roman"/>
          <w:color w:val="auto"/>
          <w:sz w:val="28"/>
          <w:szCs w:val="28"/>
          <w:lang w:eastAsia="en-US"/>
        </w:rPr>
        <w:t xml:space="preserve"> Hiện đại hoá công tác quản lý, dịch vụ công về đất đai</w:t>
      </w:r>
      <w:r>
        <w:rPr>
          <w:rFonts w:cs="Times New Roman" w:ascii="Times New Roman" w:hAnsi="Times New Roman"/>
          <w:color w:val="auto"/>
          <w:sz w:val="28"/>
          <w:szCs w:val="28"/>
        </w:rPr>
        <w:t>.</w:t>
      </w:r>
    </w:p>
    <w:p>
      <w:pPr>
        <w:pStyle w:val="Normal"/>
        <w:spacing w:lineRule="exact" w:line="340" w:before="120" w:after="120"/>
        <w:ind w:firstLine="709"/>
        <w:jc w:val="both"/>
        <w:rPr>
          <w:rFonts w:ascii="Times New Roman" w:hAnsi="Times New Roman" w:cs="Times New Roman"/>
          <w:color w:val="auto"/>
          <w:sz w:val="28"/>
          <w:szCs w:val="28"/>
          <w:lang w:eastAsia="en-US"/>
        </w:rPr>
      </w:pPr>
      <w:r>
        <w:rPr>
          <w:rFonts w:cs="Times New Roman" w:ascii="Times New Roman" w:hAnsi="Times New Roman"/>
          <w:color w:val="auto"/>
          <w:sz w:val="28"/>
          <w:szCs w:val="28"/>
          <w:lang w:eastAsia="en-US"/>
        </w:rPr>
        <w:t>- Xây dựng, vận hành Hệ thống thông tin quốc gia về đất đai theo hướng tập trung, thống nhất, đồng bộ, hiện đại, đa mục tiêu; bảo đảm kết nối, liên thông, chia sẻ dữ liệu với Cơ sở dữ liệu quốc gia về dân cư, cơ sở dữ liệu chuyên ngành về quy hoạch, thuế, công chứng, ngân hàng, bất động sản..., bảo đảm yêu cầu “đúng, đủ, sạch, sống, thống nhất, dùng chung”. Bố trí nguồn lực hợp lý để xây dựng, hoàn thành xây dựng cơ sở dữ liệu đất đai, theo đó đến hết năm 2026, hoàn thành xây dựng cơ sở dữ liệu số đối với toàn bộ các thửa đất đã được thu thập thông tin, dữ liệu; đến hết năm 2027, cơ bản hoàn thành công tác đo đạc lập bản đồ địa chính, lập hồ sơ địa chính và xây dựng cơ sở dữ liệu đất đai đối với diện tích chưa có trong cơ sở dữ liệu.</w:t>
      </w:r>
    </w:p>
    <w:p>
      <w:pPr>
        <w:pStyle w:val="Normal"/>
        <w:spacing w:lineRule="exact" w:line="340" w:before="120" w:after="120"/>
        <w:ind w:firstLine="709"/>
        <w:jc w:val="both"/>
        <w:rPr>
          <w:rFonts w:ascii="Times New Roman" w:hAnsi="Times New Roman" w:cs="Times New Roman"/>
          <w:color w:val="auto"/>
          <w:sz w:val="28"/>
          <w:szCs w:val="28"/>
          <w:lang w:eastAsia="en-US"/>
        </w:rPr>
      </w:pPr>
      <w:r>
        <w:rPr>
          <w:rFonts w:cs="Times New Roman" w:ascii="Times New Roman" w:hAnsi="Times New Roman"/>
          <w:color w:val="auto"/>
          <w:sz w:val="28"/>
          <w:szCs w:val="28"/>
          <w:lang w:eastAsia="en-US"/>
        </w:rPr>
        <w:t>- Đất đai phải được điều tra, đánh giá, thống kê, kiểm kê, lượng hoá, hạch toán đầy đủ trong nền kinh tế; được quy hoạch sử dụng hiệu quả, hợp lý với tầm nhìn dài hạn, hài hoà lợi ích giữa các vùng, miền, giữa phát triển kinh tế - xã hội với bảo đảm quốc phòng, an ninh; phát triển giáo dục, văn hoá, thể thao; bảo vệ môi trường và thích ứng với biến đổi khí hậu; bảo đảm an ninh lương thực quốc gia.</w:t>
      </w:r>
    </w:p>
    <w:p>
      <w:pPr>
        <w:pStyle w:val="Normal"/>
        <w:spacing w:lineRule="exact" w:line="340" w:before="120" w:after="120"/>
        <w:ind w:firstLine="709"/>
        <w:jc w:val="both"/>
        <w:rPr>
          <w:rFonts w:ascii="Times New Roman" w:hAnsi="Times New Roman" w:cs="Times New Roman"/>
          <w:color w:val="auto"/>
          <w:sz w:val="28"/>
          <w:szCs w:val="28"/>
          <w:lang w:eastAsia="en-US"/>
        </w:rPr>
      </w:pPr>
      <w:r>
        <w:rPr>
          <w:rFonts w:cs="Times New Roman" w:ascii="Times New Roman" w:hAnsi="Times New Roman"/>
          <w:color w:val="auto"/>
          <w:sz w:val="28"/>
          <w:szCs w:val="28"/>
          <w:lang w:eastAsia="en-US"/>
        </w:rPr>
        <w:t>- Tập trung nguồn lực đầu tư cho công tác điều tra, đánh giá tài nguyên đất; thống kê, kiểm kê đất đai; giám sát sử dụng đất; bảo vệ, cải tạo và phục hồi chất lượng đất nhằm quản lý chặt chẽ về số lượng, chất lượng đất phục vụ cho lập quy hoạch, kế hoạch sử dụng đất, làm cơ sở sử dụng đất bền vững.</w:t>
      </w:r>
    </w:p>
    <w:p>
      <w:pPr>
        <w:pStyle w:val="Heading3"/>
        <w:spacing w:lineRule="exact" w:line="340" w:before="120" w:after="120"/>
        <w:ind w:firstLine="709"/>
        <w:jc w:val="both"/>
        <w:rPr>
          <w:rFonts w:ascii="Times New Roman" w:hAnsi="Times New Roman" w:cs="Times New Roman"/>
          <w:i/>
          <w:iCs/>
          <w:color w:val="auto"/>
          <w:sz w:val="28"/>
          <w:lang w:eastAsia="en-US"/>
        </w:rPr>
      </w:pPr>
      <w:r>
        <w:rPr>
          <w:rFonts w:cs="Times New Roman" w:ascii="Times New Roman" w:hAnsi="Times New Roman"/>
          <w:i/>
          <w:iCs/>
          <w:color w:val="auto"/>
          <w:sz w:val="28"/>
          <w:lang w:eastAsia="en-US"/>
        </w:rPr>
        <w:t xml:space="preserve">b) Nội dung của chính sách: </w:t>
      </w:r>
    </w:p>
    <w:p>
      <w:pPr>
        <w:pStyle w:val="Normal"/>
        <w:spacing w:lineRule="exact" w:line="340" w:before="120" w:after="120"/>
        <w:ind w:firstLine="709"/>
        <w:jc w:val="both"/>
        <w:rPr>
          <w:rFonts w:ascii="Times New Roman" w:hAnsi="Times New Roman" w:cs="Times New Roman"/>
          <w:color w:val="auto"/>
          <w:sz w:val="28"/>
          <w:szCs w:val="28"/>
        </w:rPr>
      </w:pPr>
      <w:r>
        <w:rPr>
          <w:rFonts w:cs="Times New Roman" w:ascii="Times New Roman" w:hAnsi="Times New Roman"/>
          <w:color w:val="auto"/>
          <w:sz w:val="28"/>
          <w:szCs w:val="28"/>
          <w:lang w:eastAsia="en-US"/>
        </w:rPr>
        <w:t xml:space="preserve">- Sửa đổi, bổ sung quy định về </w:t>
      </w:r>
      <w:r>
        <w:rPr>
          <w:rFonts w:cs="Times New Roman" w:ascii="Times New Roman" w:hAnsi="Times New Roman"/>
          <w:color w:val="auto"/>
          <w:sz w:val="28"/>
          <w:szCs w:val="28"/>
        </w:rPr>
        <w:t>hệ thống thông tin quốc gia về đất đai theo hướng được xây dựng và vận hành tập trung, thống nhất từ trung ương đến địa phương, đồng bộ, đa mục tiêu và kết nối liên thông trên phạm vi cả nước; phục vụ công tác quản lý nhà nước về đất đai, cải cách hành chính, chuyển đổi số trong lĩnh vực đất đai; kết nối, chia sẻ dữ liệu với các cơ sở dữ liệu quốc gia, cơ sở dữ liệu của các Bộ, ngành, địa phương tạo nền tảng phát triển Chính phủ điện tử, hướng tới Chính phủ số, nền kinh tế số và xã hội số; cơ sở dữ liệu quốc gia về đất đai được xây dựng đồng bộ, thống nhất theo tiêu chuẩn, quy chuẩn quốc gia trong phạm vi cả nước và được quản lý tập trung và được phân cấp quản lý theo trách nhiệm quản lý của cơ quan nhà nước từ trung ương đến địa phương, đồng thời được cập nhật đầy đủ, chính xác, kịp thời, bảo đảm phù hợp với hiện trạng quản lý, sử dụng đất đai; được chia sẻ, kết nối, liên thông với các cơ sở dữ liệu quốc gia và cơ sở dữ liệu chuyên ngành khác.</w:t>
      </w:r>
    </w:p>
    <w:p>
      <w:pPr>
        <w:pStyle w:val="Normal"/>
        <w:spacing w:lineRule="exact" w:line="340" w:before="120" w:after="120"/>
        <w:ind w:firstLine="709"/>
        <w:jc w:val="both"/>
        <w:rPr>
          <w:rFonts w:ascii="Times New Roman" w:hAnsi="Times New Roman" w:cs="Times New Roman"/>
          <w:color w:val="auto"/>
          <w:sz w:val="28"/>
          <w:szCs w:val="28"/>
          <w:lang w:eastAsia="en-US"/>
        </w:rPr>
      </w:pPr>
      <w:r>
        <w:rPr>
          <w:rFonts w:cs="Times New Roman" w:ascii="Times New Roman" w:hAnsi="Times New Roman"/>
          <w:color w:val="auto"/>
          <w:sz w:val="28"/>
          <w:szCs w:val="28"/>
          <w:lang w:eastAsia="en-US"/>
        </w:rPr>
        <w:t xml:space="preserve">- Sửa đổi, bổ sung quy định về điều tra, đánh giá đất đai; bảo vệ, cải tạo, phục hồi đất; thống kê, kiên kê đất đai theo hướng quy định cụ thể nội dung điều tra, đánh giá đất, bảo vệ, cải tạo và phục hồi đất; thống kê kiểm kê đất đai đảm bảo đất đai được </w:t>
      </w:r>
      <w:r>
        <w:rPr>
          <w:rFonts w:cs="Times New Roman" w:ascii="Times New Roman" w:hAnsi="Times New Roman"/>
          <w:color w:val="auto"/>
          <w:spacing w:val="-4"/>
          <w:sz w:val="28"/>
          <w:szCs w:val="28"/>
          <w:shd w:fill="FFFFFF" w:val="clear"/>
        </w:rPr>
        <w:t>điều tra, đánh giá, thống kê, kiểm kê, lượng hoá, hạch toán đầy đủ trong nền kinh tế</w:t>
      </w:r>
      <w:r>
        <w:rPr>
          <w:rFonts w:cs="Times New Roman" w:ascii="Times New Roman" w:hAnsi="Times New Roman"/>
          <w:color w:val="auto"/>
          <w:sz w:val="28"/>
          <w:szCs w:val="28"/>
          <w:lang w:eastAsia="en-US"/>
        </w:rPr>
        <w:t xml:space="preserve"> và sử dụng hiệu quả, bền vững.</w:t>
      </w:r>
    </w:p>
    <w:p>
      <w:pPr>
        <w:pStyle w:val="Normal"/>
        <w:spacing w:lineRule="exact" w:line="340" w:before="120" w:after="120"/>
        <w:ind w:firstLine="709"/>
        <w:jc w:val="both"/>
        <w:rPr>
          <w:rFonts w:ascii="Times New Roman" w:hAnsi="Times New Roman" w:cs="Times New Roman"/>
          <w:color w:val="auto"/>
          <w:sz w:val="28"/>
          <w:szCs w:val="28"/>
          <w:lang w:eastAsia="en-US"/>
        </w:rPr>
      </w:pPr>
      <w:r>
        <w:rPr>
          <w:rFonts w:cs="Times New Roman" w:ascii="Times New Roman" w:hAnsi="Times New Roman"/>
          <w:color w:val="auto"/>
          <w:sz w:val="28"/>
          <w:szCs w:val="28"/>
          <w:lang w:eastAsia="en-US"/>
        </w:rPr>
        <w:t>- Sửa đổi, bổ sung quy định xử lý đồng bộ cấp giấy chứng nhận với đất giao quản lý để giải quyết tồn tại thực tiễn đang quy định tại Nghị quyết số 254/2025/QH15.</w:t>
      </w:r>
    </w:p>
    <w:p>
      <w:pPr>
        <w:pStyle w:val="Normal"/>
        <w:spacing w:lineRule="exact" w:line="340" w:before="120" w:after="120"/>
        <w:ind w:firstLine="709"/>
        <w:jc w:val="both"/>
        <w:rPr>
          <w:rFonts w:ascii="Times New Roman" w:hAnsi="Times New Roman" w:cs="Times New Roman"/>
          <w:color w:val="auto"/>
          <w:sz w:val="28"/>
          <w:szCs w:val="28"/>
          <w:lang w:eastAsia="en-US"/>
        </w:rPr>
      </w:pPr>
      <w:r>
        <w:rPr>
          <w:rFonts w:cs="Times New Roman" w:ascii="Times New Roman" w:hAnsi="Times New Roman"/>
          <w:color w:val="auto"/>
          <w:sz w:val="28"/>
          <w:szCs w:val="28"/>
          <w:lang w:eastAsia="en-US"/>
        </w:rPr>
        <w:t>- Bổ sung chính sách mới về cấp giấy chứng nhận và xử lý tồn tại lịch sử cần có cách tiếp cận thực tế, nhân văn nhưng chặt chẽ theo hướng:</w:t>
      </w:r>
    </w:p>
    <w:p>
      <w:pPr>
        <w:pStyle w:val="Normal"/>
        <w:spacing w:lineRule="exact" w:line="340" w:before="120" w:after="120"/>
        <w:ind w:firstLine="709"/>
        <w:jc w:val="both"/>
        <w:rPr>
          <w:rFonts w:ascii="Times New Roman" w:hAnsi="Times New Roman" w:cs="Times New Roman"/>
          <w:color w:val="auto"/>
          <w:sz w:val="28"/>
          <w:szCs w:val="28"/>
          <w:lang w:eastAsia="en-US"/>
        </w:rPr>
      </w:pPr>
      <w:r>
        <w:rPr>
          <w:rFonts w:cs="Times New Roman" w:ascii="Times New Roman" w:hAnsi="Times New Roman"/>
          <w:color w:val="auto"/>
          <w:sz w:val="28"/>
          <w:szCs w:val="28"/>
          <w:lang w:eastAsia="en-US"/>
        </w:rPr>
        <w:t>+ Không hồi tố đối với trường hợp đã cấp giấy chứng nhận quyền sử dụng đất lâu dài phù hợp với quy định của pháp luật tại thời điểm cấp Giấy chứng nhận.</w:t>
      </w:r>
    </w:p>
    <w:p>
      <w:pPr>
        <w:pStyle w:val="Normal"/>
        <w:spacing w:lineRule="exact" w:line="340" w:before="120" w:after="120"/>
        <w:ind w:firstLine="709"/>
        <w:jc w:val="both"/>
        <w:rPr>
          <w:rFonts w:ascii="Times New Roman" w:hAnsi="Times New Roman" w:cs="Times New Roman"/>
          <w:color w:val="auto"/>
          <w:spacing w:val="-2"/>
          <w:sz w:val="28"/>
          <w:szCs w:val="28"/>
          <w:lang w:eastAsia="en-US"/>
        </w:rPr>
      </w:pPr>
      <w:r>
        <w:rPr>
          <w:rFonts w:cs="Times New Roman" w:ascii="Times New Roman" w:hAnsi="Times New Roman"/>
          <w:color w:val="auto"/>
          <w:spacing w:val="-2"/>
          <w:sz w:val="28"/>
          <w:szCs w:val="28"/>
          <w:lang w:eastAsia="en-US"/>
        </w:rPr>
        <w:t>+ Đối với các vi phạm về thủ tục trước đây mà người sử dụng đất đã sử dụng ổn định, không tranh chấp, phù hợp với quy hoạch, không ảnh hưởng đến quốc phòng, an ninh, môi trường, an toàn công trình; đồng thời, người sử dụng đất đã thực hiện hoặc cam kết thực hiện đầy đủ nghĩa vụ tài chính với Nhà nước thì xem xét công nhận, cấp giấy chứng nhận cho người sử dụng đất theo quy định. Xác định rõ thời điểm, điều kiện, phạm vi, trách nhiệm và chế tài để ngăn chặn vi phạm mới.</w:t>
      </w:r>
    </w:p>
    <w:p>
      <w:pPr>
        <w:pStyle w:val="Normal"/>
        <w:spacing w:lineRule="exact" w:line="340" w:before="120" w:after="120"/>
        <w:ind w:firstLine="709"/>
        <w:jc w:val="both"/>
        <w:rPr>
          <w:rFonts w:ascii="Times New Roman" w:hAnsi="Times New Roman" w:cs="Times New Roman"/>
          <w:color w:val="auto"/>
          <w:sz w:val="28"/>
          <w:szCs w:val="28"/>
          <w:lang w:eastAsia="en-US"/>
        </w:rPr>
      </w:pPr>
      <w:r>
        <w:rPr>
          <w:rFonts w:cs="Times New Roman" w:ascii="Times New Roman" w:hAnsi="Times New Roman"/>
          <w:color w:val="auto"/>
          <w:sz w:val="28"/>
          <w:szCs w:val="28"/>
          <w:lang w:eastAsia="en-US"/>
        </w:rPr>
        <w:t>- Bổ sung chính sách mới về thị trường quyền sử dụng đất theo hướng minh bạch, lành mạnh, ổn định, bền vững. Công khai thông tin quy hoạch, pháp lý dự án, giá đất, giao dịch, nghĩa vụ tài chính, tình trạng thế chấp, tranh chấp, tình trạng sử dụng đất; từng bước bắt buộc đăng ký giao dịch quyền sử dụng đất, kết nối dữ liệu với công chứng, thuế, ngân hàng, đăng ký đất đai và kinh doanh bất động sản; giao dịch bất động sản qua sàn giao dịch, thanh toán qua ngân hàng, không dùng tiền mặt.</w:t>
      </w:r>
    </w:p>
    <w:p>
      <w:pPr>
        <w:pStyle w:val="Normal"/>
        <w:spacing w:lineRule="exact" w:line="340" w:before="120" w:after="120"/>
        <w:ind w:firstLine="709"/>
        <w:jc w:val="both"/>
        <w:rPr>
          <w:rFonts w:ascii="Times New Roman" w:hAnsi="Times New Roman" w:cs="Times New Roman"/>
          <w:color w:val="auto"/>
          <w:sz w:val="28"/>
          <w:szCs w:val="28"/>
          <w:lang w:eastAsia="en-US"/>
        </w:rPr>
      </w:pPr>
      <w:r>
        <w:rPr>
          <w:rFonts w:cs="Times New Roman" w:ascii="Times New Roman" w:hAnsi="Times New Roman"/>
          <w:color w:val="auto"/>
          <w:sz w:val="28"/>
          <w:szCs w:val="28"/>
          <w:lang w:eastAsia="en-US"/>
        </w:rPr>
        <w:t>- Sửa đổi, bổ sung các quy định về thẩm quyền quyết định về thu hồi đất, bồi thường, hỗ trợ, tái định cư, giao đất, cho thuê đất, cho phép chuyển mục đích sử dụng đất, điều chỉnh thời hạn sử dụng đất, gia hạn sử dụng đất, chuyển hình thức sử dụng đất, công nhận quyền sử dụng đất, chấp thuận về việc thỏa thuận nhận quyền sử dụng đất để thực hiện dự án, chấp thuận, phê duyệt phương án sử dụng đất; quy định trình tự, thủ tục hành chính về đất đai cho phù hợp với tổ chức chính quyền địa phương 02 cấp; thống nhất quản lý theo hướng nâng cao trách nhiệm của địa phương và kiểm tra, giám sát, kiểm soát chặt chẽ của Trung ương; giảm đầu mối, giảm trung gian, gắn với cải cách hành chính.</w:t>
      </w:r>
    </w:p>
    <w:p>
      <w:pPr>
        <w:pStyle w:val="Normal"/>
        <w:spacing w:lineRule="exact" w:line="340" w:before="120" w:after="120"/>
        <w:ind w:firstLine="709"/>
        <w:jc w:val="both"/>
        <w:rPr>
          <w:rFonts w:ascii="Times New Roman" w:hAnsi="Times New Roman" w:cs="Times New Roman"/>
          <w:bCs/>
          <w:color w:val="auto"/>
          <w:sz w:val="28"/>
          <w:szCs w:val="28"/>
          <w:lang w:val="pl-PL" w:eastAsia="en-US"/>
        </w:rPr>
      </w:pPr>
      <w:r>
        <w:rPr>
          <w:rFonts w:cs="Times New Roman" w:ascii="Times New Roman" w:hAnsi="Times New Roman"/>
          <w:bCs/>
          <w:color w:val="auto"/>
          <w:sz w:val="28"/>
          <w:szCs w:val="28"/>
          <w:lang w:val="zu-ZA" w:eastAsia="en-US"/>
        </w:rPr>
        <w:t xml:space="preserve">- </w:t>
      </w:r>
      <w:r>
        <w:rPr>
          <w:rFonts w:cs="Times New Roman" w:ascii="Times New Roman" w:hAnsi="Times New Roman"/>
          <w:bCs/>
          <w:color w:val="auto"/>
          <w:sz w:val="28"/>
          <w:szCs w:val="28"/>
          <w:lang w:val="pl-PL" w:eastAsia="en-US"/>
        </w:rPr>
        <w:t xml:space="preserve">Quy định đơn vị sự nghiệp công lập cấp xã có đầy đủ các chức năng, nhiệm vụ như </w:t>
      </w:r>
      <w:r>
        <w:rPr>
          <w:rFonts w:cs="Times New Roman" w:ascii="Times New Roman" w:hAnsi="Times New Roman"/>
          <w:bCs/>
          <w:color w:val="auto"/>
          <w:sz w:val="28"/>
          <w:szCs w:val="28"/>
          <w:lang w:val="zu-ZA" w:eastAsia="en-US"/>
        </w:rPr>
        <w:t>Tổ chức phát triển quỹ đất</w:t>
      </w:r>
      <w:r>
        <w:rPr>
          <w:rFonts w:cs="Times New Roman" w:ascii="Times New Roman" w:hAnsi="Times New Roman"/>
          <w:bCs/>
          <w:color w:val="auto"/>
          <w:sz w:val="28"/>
          <w:szCs w:val="28"/>
          <w:lang w:val="pl-PL" w:eastAsia="en-US"/>
        </w:rPr>
        <w:t>.</w:t>
      </w:r>
    </w:p>
    <w:p>
      <w:pPr>
        <w:pStyle w:val="Normal"/>
        <w:spacing w:lineRule="exact" w:line="340" w:before="120" w:after="120"/>
        <w:ind w:firstLine="709"/>
        <w:jc w:val="both"/>
        <w:rPr>
          <w:rFonts w:ascii="Times New Roman" w:hAnsi="Times New Roman" w:cs="Times New Roman"/>
          <w:color w:val="auto"/>
          <w:sz w:val="28"/>
          <w:szCs w:val="28"/>
          <w:lang w:val="pl-PL" w:eastAsia="en-US"/>
        </w:rPr>
      </w:pPr>
      <w:r>
        <w:rPr>
          <w:rFonts w:cs="Times New Roman" w:ascii="Times New Roman" w:hAnsi="Times New Roman"/>
          <w:color w:val="auto"/>
          <w:sz w:val="28"/>
          <w:szCs w:val="28"/>
          <w:lang w:val="pl-PL" w:eastAsia="en-US"/>
        </w:rPr>
        <w:t>- Tiếp tục phân cấp, phân quyền trong quản lý nhà nước về đất đai gắn với nguồn lực dữ liệu, cán bộ và kiểm soát quyền lực phù hợp với tổ chức chính quyền địa phương 2 cấp, giảm khâu trung gian, đơn giản hoá thủ tục hành chính.</w:t>
      </w:r>
    </w:p>
    <w:p>
      <w:pPr>
        <w:pStyle w:val="Heading3"/>
        <w:spacing w:lineRule="exact" w:line="340" w:before="120" w:after="120"/>
        <w:ind w:firstLine="709"/>
        <w:jc w:val="both"/>
        <w:rPr>
          <w:rFonts w:ascii="Times New Roman" w:hAnsi="Times New Roman" w:cs="Times New Roman"/>
          <w:i/>
          <w:iCs/>
          <w:color w:val="auto"/>
          <w:sz w:val="28"/>
          <w:lang w:eastAsia="en-US"/>
        </w:rPr>
      </w:pPr>
      <w:r>
        <w:rPr>
          <w:rFonts w:cs="Times New Roman" w:ascii="Times New Roman" w:hAnsi="Times New Roman"/>
          <w:i/>
          <w:iCs/>
          <w:color w:val="auto"/>
          <w:sz w:val="28"/>
          <w:lang w:eastAsia="en-US"/>
        </w:rPr>
        <w:t xml:space="preserve">c) Các giải pháp thực hiện chính sách: </w:t>
      </w:r>
    </w:p>
    <w:p>
      <w:pPr>
        <w:pStyle w:val="Normal"/>
        <w:spacing w:lineRule="exact" w:line="340" w:before="120" w:after="120"/>
        <w:ind w:firstLine="709"/>
        <w:jc w:val="both"/>
        <w:rPr>
          <w:rFonts w:ascii="Times New Roman" w:hAnsi="Times New Roman" w:cs="Times New Roman"/>
          <w:color w:val="auto"/>
          <w:sz w:val="28"/>
          <w:szCs w:val="28"/>
          <w:u w:val="single"/>
          <w:lang w:eastAsia="en-US"/>
        </w:rPr>
      </w:pPr>
      <w:r>
        <w:rPr>
          <w:rFonts w:cs="Times New Roman" w:ascii="Times New Roman" w:hAnsi="Times New Roman"/>
          <w:color w:val="auto"/>
          <w:sz w:val="28"/>
          <w:szCs w:val="28"/>
          <w:u w:val="single"/>
          <w:lang w:eastAsia="en-US"/>
        </w:rPr>
        <w:t xml:space="preserve">Giải pháp 1: </w:t>
      </w:r>
    </w:p>
    <w:p>
      <w:pPr>
        <w:pStyle w:val="Normal"/>
        <w:spacing w:lineRule="exact" w:line="340" w:before="120" w:after="120"/>
        <w:ind w:firstLine="709"/>
        <w:jc w:val="both"/>
        <w:rPr>
          <w:rFonts w:ascii="Times New Roman" w:hAnsi="Times New Roman" w:cs="Times New Roman"/>
          <w:color w:val="auto"/>
          <w:sz w:val="28"/>
          <w:szCs w:val="28"/>
          <w:lang w:eastAsia="en-US"/>
        </w:rPr>
      </w:pPr>
      <w:r>
        <w:rPr>
          <w:rFonts w:cs="Times New Roman" w:ascii="Times New Roman" w:hAnsi="Times New Roman"/>
          <w:color w:val="auto"/>
          <w:sz w:val="28"/>
          <w:szCs w:val="28"/>
          <w:lang w:eastAsia="en-US"/>
        </w:rPr>
        <w:tab/>
        <w:t>- Luật hóa các Nghị quyết của Quốc hội, Nghị quyết và Nghị định của Chính phủ gồm:</w:t>
      </w:r>
    </w:p>
    <w:p>
      <w:pPr>
        <w:pStyle w:val="Normal"/>
        <w:spacing w:lineRule="exact" w:line="340" w:before="120" w:after="120"/>
        <w:ind w:firstLine="709"/>
        <w:jc w:val="both"/>
        <w:rPr>
          <w:rFonts w:ascii="Times New Roman" w:hAnsi="Times New Roman" w:cs="Times New Roman"/>
          <w:color w:val="auto"/>
          <w:sz w:val="28"/>
          <w:szCs w:val="28"/>
        </w:rPr>
      </w:pPr>
      <w:r>
        <w:rPr>
          <w:rFonts w:cs="Times New Roman" w:ascii="Times New Roman" w:hAnsi="Times New Roman"/>
          <w:color w:val="auto"/>
          <w:sz w:val="28"/>
          <w:szCs w:val="28"/>
          <w:lang w:eastAsia="en-US"/>
        </w:rPr>
        <w:t xml:space="preserve">+ Luật hóa quy định về </w:t>
      </w:r>
      <w:r>
        <w:rPr>
          <w:rFonts w:cs="Times New Roman" w:ascii="Times New Roman" w:hAnsi="Times New Roman"/>
          <w:color w:val="auto"/>
          <w:sz w:val="28"/>
          <w:szCs w:val="28"/>
        </w:rPr>
        <w:t>hệ thống thông tin quốc gia về đất đai theo hướng xây dựng và vận hành tập trung, thống nhất từ trung ương đến địa phương, đồng bộ, đa mục tiêu và kết nối liên thông trên phạm vi cả nước; phục vụ công tác quản lý nhà nước về đất đai, cải cách hành chính, chuyển đổi số trong lĩnh vực đất đai; kết nối, chia sẻ dữ liệu với các cơ sở dữ liệu quốc gia, cơ sở dữ liệu của các Bộ, ngành, địa phương tạo nền tảng phát triển Chính phủ điện tử, hướng tới Chính phủ số, nền kinh tế số và xã hội số; cơ sở dữ liệu quốc gia về đất đai được xây dựng đồng bộ, thống nhất theo tiêu chuẩn, quy chuẩn quốc gia trong phạm vi cả nước và được quản lý tập trung và được phân cấp quản lý theo trách nhiệm quản lý của cơ quan nhà nước từ trung ương đến địa phương, đồng thời được cập nhật đầy đủ, chính xác, kịp thời, bảo đảm phù hợp với hiện trạng quản lý, sử dụng đất đai; được chia sẻ, kết nối, liên thông với các cơ sở dữ liệu quốc gia và cơ sở dữ liệu chuyên ngành khác.</w:t>
      </w:r>
    </w:p>
    <w:p>
      <w:pPr>
        <w:pStyle w:val="Normal"/>
        <w:spacing w:lineRule="exact" w:line="340" w:before="120" w:after="120"/>
        <w:ind w:firstLine="709"/>
        <w:jc w:val="both"/>
        <w:rPr>
          <w:rFonts w:ascii="Times New Roman" w:hAnsi="Times New Roman" w:cs="Times New Roman"/>
          <w:color w:val="auto"/>
          <w:sz w:val="28"/>
          <w:szCs w:val="28"/>
          <w:lang w:eastAsia="en-US"/>
        </w:rPr>
      </w:pPr>
      <w:r>
        <w:rPr>
          <w:rFonts w:cs="Times New Roman" w:ascii="Times New Roman" w:hAnsi="Times New Roman"/>
          <w:color w:val="auto"/>
          <w:sz w:val="28"/>
          <w:szCs w:val="28"/>
          <w:lang w:eastAsia="en-US"/>
        </w:rPr>
        <w:t xml:space="preserve">+ Luật hóa quy định về điều tra, đánh giá đất đai; bảo vệ, cải tạo, phục hồi đất; thống kê, kiểm kê đất đai theo hướng quy định cụ thể nội dung điều tra, đánh giá đất, bảo vệ, cải tạo và phục hồi đất, thống kê kiểm kê đất đai đảm bảo đất đai được </w:t>
      </w:r>
      <w:r>
        <w:rPr>
          <w:rFonts w:cs="Times New Roman" w:ascii="Times New Roman" w:hAnsi="Times New Roman"/>
          <w:color w:val="auto"/>
          <w:spacing w:val="-4"/>
          <w:sz w:val="28"/>
          <w:szCs w:val="28"/>
          <w:shd w:fill="FFFFFF" w:val="clear"/>
        </w:rPr>
        <w:t>điều tra, đánh giá, thống kê, kiểm kê, lượng hoá, hạch toán đầy đủ trong nền kinh tế</w:t>
      </w:r>
      <w:r>
        <w:rPr>
          <w:rFonts w:cs="Times New Roman" w:ascii="Times New Roman" w:hAnsi="Times New Roman"/>
          <w:color w:val="auto"/>
          <w:sz w:val="28"/>
          <w:szCs w:val="28"/>
          <w:lang w:eastAsia="en-US"/>
        </w:rPr>
        <w:t xml:space="preserve"> và sử dụng hiệu quả, bền vững.</w:t>
      </w:r>
    </w:p>
    <w:p>
      <w:pPr>
        <w:pStyle w:val="Normal"/>
        <w:spacing w:lineRule="exact" w:line="340" w:before="120" w:after="120"/>
        <w:ind w:firstLine="709"/>
        <w:jc w:val="both"/>
        <w:rPr>
          <w:rFonts w:ascii="Times New Roman" w:hAnsi="Times New Roman" w:cs="Times New Roman"/>
          <w:color w:val="auto"/>
          <w:sz w:val="28"/>
          <w:szCs w:val="28"/>
          <w:lang w:eastAsia="en-US"/>
        </w:rPr>
      </w:pPr>
      <w:r>
        <w:rPr>
          <w:rFonts w:cs="Times New Roman" w:ascii="Times New Roman" w:hAnsi="Times New Roman"/>
          <w:color w:val="auto"/>
          <w:sz w:val="28"/>
          <w:szCs w:val="28"/>
          <w:lang w:eastAsia="en-US"/>
        </w:rPr>
        <w:t>+ Luật hóa quy định xử lý đồng bộ cấp giấy chứng nhận với đất giao quản lý tại Nghị quyết số 254/2025/QH15 của Quốc hội.</w:t>
      </w:r>
    </w:p>
    <w:p>
      <w:pPr>
        <w:pStyle w:val="Normal"/>
        <w:spacing w:lineRule="exact" w:line="340" w:before="120" w:after="120"/>
        <w:ind w:firstLine="709"/>
        <w:jc w:val="both"/>
        <w:rPr>
          <w:rFonts w:ascii="Times New Roman" w:hAnsi="Times New Roman" w:cs="Times New Roman"/>
          <w:color w:val="auto"/>
          <w:sz w:val="28"/>
          <w:szCs w:val="28"/>
          <w:lang w:eastAsia="en-US"/>
        </w:rPr>
      </w:pPr>
      <w:r>
        <w:rPr>
          <w:rFonts w:cs="Times New Roman" w:ascii="Times New Roman" w:hAnsi="Times New Roman"/>
          <w:color w:val="auto"/>
          <w:sz w:val="28"/>
          <w:szCs w:val="28"/>
          <w:lang w:eastAsia="en-US"/>
        </w:rPr>
        <w:t>+ Luật hóa quy định về cắt giảm, phân quyền, đơn giản hóa thủ tục hành chính và cắt giảm, đơn giản hoá điều kiện kinh doanh thuộc phạm vi quản lý của Bộ Nông nghiệp và Môi trường tại Nghị quyết số 17/2026/NQ-CP và Nghị quyết số 66.19/2026/NQ-CP của ngày 19/5/2026 của Chính phủ.</w:t>
      </w:r>
    </w:p>
    <w:p>
      <w:pPr>
        <w:pStyle w:val="Normal"/>
        <w:spacing w:lineRule="exact" w:line="340" w:before="120" w:after="120"/>
        <w:ind w:firstLine="709"/>
        <w:jc w:val="both"/>
        <w:rPr>
          <w:color w:val="auto"/>
        </w:rPr>
      </w:pPr>
      <w:r>
        <w:rPr>
          <w:rFonts w:cs="Times New Roman" w:ascii="Times New Roman" w:hAnsi="Times New Roman"/>
          <w:color w:val="auto"/>
          <w:sz w:val="28"/>
          <w:szCs w:val="28"/>
          <w:lang w:eastAsia="en-US"/>
        </w:rPr>
        <w:t>+ Luật hóa quy định về phân cấp, phân quyền tại Nghị định số 151/2025/NĐ-CP và Nghị định số 49/2026/NĐ-CP:</w:t>
      </w:r>
      <w:r>
        <w:rPr>
          <w:color w:val="auto"/>
        </w:rPr>
        <w:t xml:space="preserve"> </w:t>
      </w:r>
    </w:p>
    <w:p>
      <w:pPr>
        <w:pStyle w:val="Normal"/>
        <w:spacing w:lineRule="exact" w:line="340" w:before="120" w:after="120"/>
        <w:ind w:firstLine="709"/>
        <w:jc w:val="both"/>
        <w:rPr>
          <w:rFonts w:ascii="Times New Roman" w:hAnsi="Times New Roman" w:cs="Times New Roman"/>
          <w:color w:val="auto"/>
          <w:sz w:val="28"/>
          <w:szCs w:val="28"/>
          <w:lang w:eastAsia="en-US"/>
        </w:rPr>
      </w:pPr>
      <w:r>
        <w:rPr>
          <w:rFonts w:cs="Times New Roman" w:ascii="Times New Roman" w:hAnsi="Times New Roman"/>
          <w:color w:val="auto"/>
          <w:spacing w:val="-4"/>
          <w:sz w:val="28"/>
          <w:szCs w:val="28"/>
          <w:lang w:eastAsia="en-US"/>
        </w:rPr>
        <w:t>Sửa đổi, bổ sung các quy định về thẩm quyền quyết định về thu hồi đất, bồi thường, hỗ trợ, tái định cư, giao đất, cho thuê đất, cho phép chuyển mục đích sử dụng đất, điều chỉnh thời hạn sử dụng đất, gia hạn sử dụng đất, chuyển hình thức sử dụng đất, công nhận quyền sử dụng đất, chấp thuận về việc thỏa thuận nhận quyền sử dụng đất để thực hiện dự án, chấp thuận, phê duyệt phương án sử dụng đất; quy định trình tự, thủ tục hành chính về đất đai cho phù hợp với tổ chức chính quyền địa phương 02 cấp; thống nhất quản lý theo hướng nâng cao trách nhiệm của địa phương và kiểm tra, giám sát, kiểm soát chặt chẽ của Trung ương; giảm đầu mối, giảm trung gian, gắn với cải cách hành chính</w:t>
      </w:r>
      <w:r>
        <w:rPr>
          <w:rFonts w:cs="Times New Roman" w:ascii="Times New Roman" w:hAnsi="Times New Roman"/>
          <w:color w:val="auto"/>
          <w:sz w:val="28"/>
          <w:szCs w:val="28"/>
          <w:lang w:eastAsia="en-US"/>
        </w:rPr>
        <w:t>.</w:t>
      </w:r>
    </w:p>
    <w:p>
      <w:pPr>
        <w:pStyle w:val="Normal"/>
        <w:spacing w:lineRule="exact" w:line="340" w:before="120" w:after="120"/>
        <w:ind w:firstLine="709"/>
        <w:jc w:val="both"/>
        <w:rPr>
          <w:rFonts w:ascii="Times New Roman" w:hAnsi="Times New Roman" w:cs="Times New Roman"/>
          <w:color w:val="auto"/>
          <w:sz w:val="28"/>
          <w:szCs w:val="28"/>
          <w:lang w:eastAsia="en-US"/>
        </w:rPr>
      </w:pPr>
      <w:r>
        <w:rPr>
          <w:rFonts w:cs="Times New Roman" w:ascii="Times New Roman" w:hAnsi="Times New Roman"/>
          <w:color w:val="auto"/>
          <w:sz w:val="28"/>
          <w:szCs w:val="28"/>
          <w:lang w:eastAsia="en-US"/>
        </w:rPr>
        <w:t xml:space="preserve"> </w:t>
      </w:r>
      <w:r>
        <w:rPr>
          <w:rFonts w:cs="Times New Roman" w:ascii="Times New Roman" w:hAnsi="Times New Roman"/>
          <w:color w:val="auto"/>
          <w:sz w:val="28"/>
          <w:szCs w:val="28"/>
          <w:lang w:eastAsia="en-US"/>
        </w:rPr>
        <w:t>G</w:t>
      </w:r>
      <w:r>
        <w:rPr>
          <w:rFonts w:cs="Times New Roman" w:ascii="Times New Roman" w:hAnsi="Times New Roman"/>
          <w:color w:val="auto"/>
          <w:sz w:val="28"/>
          <w:lang w:eastAsia="en-US"/>
        </w:rPr>
        <w:t>iao chính quyền địa phương cấp tỉnh quyết định mô hình tổ chức, kiện toàn hệ thống Văn phòng đăng ký đất đai, Tổ chức phát triển quỹ đất phù hợp với điều kiện thực tế, bảo đảm thông suốt việc giải quyết thủ tục hành chính thuận lợi cho người dân và doanh nghiệp, quản lý thống nhất và khai thác hiệu quả cơ sở dữ liệu đất đai; bổ sung chức năng cho đơn vị sự nghiệp công lập cấp xã có đầy đủ các chức năng, nhiệm vụ như Tổ chức phát triển quỹ đất.</w:t>
      </w:r>
    </w:p>
    <w:p>
      <w:pPr>
        <w:pStyle w:val="Normal"/>
        <w:spacing w:lineRule="exact" w:line="340" w:before="120" w:after="120"/>
        <w:ind w:firstLine="709"/>
        <w:jc w:val="both"/>
        <w:rPr>
          <w:rFonts w:ascii="Times New Roman" w:hAnsi="Times New Roman" w:cs="Times New Roman"/>
          <w:color w:val="auto"/>
          <w:sz w:val="28"/>
          <w:szCs w:val="28"/>
          <w:lang w:eastAsia="en-US"/>
        </w:rPr>
      </w:pPr>
      <w:r>
        <w:rPr>
          <w:rFonts w:cs="Times New Roman" w:ascii="Times New Roman" w:hAnsi="Times New Roman"/>
          <w:color w:val="auto"/>
          <w:sz w:val="28"/>
          <w:szCs w:val="28"/>
          <w:lang w:eastAsia="en-US"/>
        </w:rPr>
        <w:t>- Sửa đổi, bổ sung quy định về đăng ký đất đai, cấp giấy chứng nhận quyền sử dụng đất, quyền sở hữu tài sản gắn liền với đất theo hướng:</w:t>
      </w:r>
    </w:p>
    <w:p>
      <w:pPr>
        <w:pStyle w:val="Normal"/>
        <w:spacing w:lineRule="exact" w:line="340" w:before="120" w:after="120"/>
        <w:ind w:firstLine="709"/>
        <w:jc w:val="both"/>
        <w:rPr>
          <w:rFonts w:ascii="Times New Roman" w:hAnsi="Times New Roman" w:cs="Times New Roman"/>
          <w:color w:val="auto"/>
          <w:sz w:val="28"/>
          <w:szCs w:val="28"/>
          <w:lang w:val="zu-ZA" w:eastAsia="en-US"/>
        </w:rPr>
      </w:pPr>
      <w:r>
        <w:rPr>
          <w:rFonts w:cs="Times New Roman" w:ascii="Times New Roman" w:hAnsi="Times New Roman"/>
          <w:color w:val="auto"/>
          <w:sz w:val="28"/>
          <w:szCs w:val="28"/>
          <w:lang w:val="zu-ZA" w:eastAsia="en-US"/>
        </w:rPr>
        <w:t>+ Cấp giấy chứng nhận cơ quan, tổ chức của Nhà nước đang quản lý (bao gồm: đất có mặt nước chuyên dùng, đất có mặt nước của các sông, suối, đất sử dụng vào mục đích công cộng không có mục đích kinh doanh ở địa phương, đất chưa sử dụng).</w:t>
      </w:r>
    </w:p>
    <w:p>
      <w:pPr>
        <w:pStyle w:val="Normal"/>
        <w:spacing w:lineRule="exact" w:line="340" w:before="120" w:after="120"/>
        <w:ind w:firstLine="709"/>
        <w:jc w:val="both"/>
        <w:rPr>
          <w:rFonts w:ascii="Times New Roman" w:hAnsi="Times New Roman" w:cs="Times New Roman"/>
          <w:iCs/>
          <w:color w:val="auto"/>
          <w:sz w:val="28"/>
          <w:szCs w:val="28"/>
          <w:lang w:val="zu-ZA" w:eastAsia="en-US"/>
        </w:rPr>
      </w:pPr>
      <w:r>
        <w:rPr>
          <w:rFonts w:cs="Times New Roman" w:ascii="Times New Roman" w:hAnsi="Times New Roman"/>
          <w:color w:val="auto"/>
          <w:sz w:val="28"/>
          <w:szCs w:val="28"/>
          <w:lang w:val="zu-ZA" w:eastAsia="en-US"/>
        </w:rPr>
        <w:t>+ Không hồi tố đối với trường hợp đã cấp giấy chứng nhận quyền sử dụng đất có thời hạn sử dụng đất lâu dài phù hợp với quy định của pháp luật tại thời điểm cấp Giấy chứng nhận. Đối với các vi phạm về thủ tục trước ngày 01/8/2024 mà đã sử dụng ổn định, không tranh chấp, phù hợp với quy hoạch, không ảnh hưởng quốc phòng, an ninh, môi trường, an toàn công trình thì xem xét công nhận, cấp Giấy chứng nhận quyền sử dụng đất; người sử dụng đất phải thực hiện đầy đủ nghĩa vụ tài chính với Nhà nước. Đối với các trường hợp có vi phạm từ ngày 01/8/2024 trở về sau thì phải xử lý nghiêm minh, có chế tài đủ mạnh để ngăn chặn vi phạm, cụ thể: Giải quyết</w:t>
      </w:r>
      <w:r>
        <w:rPr>
          <w:rFonts w:cs="Times New Roman" w:ascii="Times New Roman" w:hAnsi="Times New Roman"/>
          <w:iCs/>
          <w:color w:val="auto"/>
          <w:sz w:val="28"/>
          <w:szCs w:val="28"/>
          <w:lang w:val="zu-ZA" w:eastAsia="en-US"/>
        </w:rPr>
        <w:t xml:space="preserve"> công nhận và cấp Giấy chứng nhận quyền sử dụng đất đối với các trường hợp không thực hiện thủ tục chuyển quyền sử dụng đất theo quy định; tự ý chuyển mục đích sử dụng đất nông nghiệp trong khu dân cư mà phù hợp với quy hoạch thì cấp Giấy chứng nhận theo hiện trạng mà không tháo dỡ công trình thì đề xuất </w:t>
      </w:r>
      <w:r>
        <w:rPr>
          <w:rFonts w:cs="Times New Roman" w:ascii="Times New Roman" w:hAnsi="Times New Roman"/>
          <w:color w:val="auto"/>
          <w:sz w:val="28"/>
          <w:szCs w:val="28"/>
          <w:lang w:val="zu-ZA" w:eastAsia="en-US"/>
        </w:rPr>
        <w:t>giải quyết</w:t>
      </w:r>
      <w:r>
        <w:rPr>
          <w:rFonts w:cs="Times New Roman" w:ascii="Times New Roman" w:hAnsi="Times New Roman"/>
          <w:iCs/>
          <w:color w:val="auto"/>
          <w:sz w:val="28"/>
          <w:szCs w:val="28"/>
          <w:lang w:val="zu-ZA" w:eastAsia="en-US"/>
        </w:rPr>
        <w:t xml:space="preserve"> công nhận theo hiện trạng và cấp Giấy chứng nhận quyền sử dụng đất.</w:t>
      </w:r>
    </w:p>
    <w:p>
      <w:pPr>
        <w:pStyle w:val="Normal"/>
        <w:spacing w:lineRule="exact" w:line="340" w:before="120" w:after="120"/>
        <w:ind w:firstLine="709"/>
        <w:jc w:val="both"/>
        <w:rPr>
          <w:rFonts w:ascii="Times New Roman" w:hAnsi="Times New Roman" w:cs="Times New Roman"/>
          <w:iCs/>
          <w:color w:val="auto"/>
          <w:sz w:val="28"/>
          <w:szCs w:val="28"/>
          <w:lang w:val="zu-ZA" w:eastAsia="en-US"/>
        </w:rPr>
      </w:pPr>
      <w:r>
        <w:rPr>
          <w:rFonts w:cs="Times New Roman" w:ascii="Times New Roman" w:hAnsi="Times New Roman"/>
          <w:color w:val="auto"/>
          <w:sz w:val="28"/>
          <w:szCs w:val="28"/>
          <w:lang w:val="zu-ZA" w:eastAsia="en-US"/>
        </w:rPr>
        <w:t xml:space="preserve">+ </w:t>
      </w:r>
      <w:r>
        <w:rPr>
          <w:rFonts w:cs="Times New Roman" w:ascii="Times New Roman" w:hAnsi="Times New Roman"/>
          <w:iCs/>
          <w:color w:val="auto"/>
          <w:sz w:val="28"/>
          <w:szCs w:val="28"/>
          <w:lang w:val="zu-ZA" w:eastAsia="en-US"/>
        </w:rPr>
        <w:t xml:space="preserve">Trường hợp công nhận và cấp Giấy chứng nhận quyền sử dụng đất nông nghiệp sử dụng do lấn chiếm thì cho phép giải quyết như trường hợp tự khai hoang; trường hợp đất giao trái thẩm quyền do lịch sử để lại thì giải quyết giống nhau đối với cả trường hợp có nhà và không có nhà; phân cấp để địa phương xác định lại diện tích đất ở trong trường hợp người dân sử dụng đất trước ngày 18/12/1980 đã được cấp Giấy chứng nhận quyền sử dụng đất mà không có giấy tờ về quyền sử dụng đất... để </w:t>
      </w:r>
      <w:r>
        <w:rPr>
          <w:rFonts w:cs="Times New Roman" w:ascii="Times New Roman" w:hAnsi="Times New Roman"/>
          <w:color w:val="auto"/>
          <w:sz w:val="28"/>
          <w:szCs w:val="28"/>
          <w:lang w:val="zu-ZA" w:eastAsia="en-US"/>
        </w:rPr>
        <w:t>giải quyết t</w:t>
      </w:r>
      <w:r>
        <w:rPr>
          <w:rFonts w:cs="Times New Roman" w:ascii="Times New Roman" w:hAnsi="Times New Roman"/>
          <w:iCs/>
          <w:color w:val="auto"/>
          <w:sz w:val="28"/>
          <w:szCs w:val="28"/>
          <w:lang w:val="zu-ZA" w:eastAsia="en-US"/>
        </w:rPr>
        <w:t>hực tiễn, đảm bảo công bằng giữa những người sử dụng đất...</w:t>
      </w:r>
    </w:p>
    <w:p>
      <w:pPr>
        <w:pStyle w:val="Normal"/>
        <w:spacing w:lineRule="exact" w:line="340" w:before="120" w:after="120"/>
        <w:ind w:firstLine="709"/>
        <w:jc w:val="both"/>
        <w:rPr>
          <w:rFonts w:ascii="Times New Roman" w:hAnsi="Times New Roman" w:cs="Times New Roman"/>
          <w:color w:val="auto"/>
          <w:sz w:val="28"/>
          <w:szCs w:val="28"/>
          <w:lang w:eastAsia="en-US"/>
        </w:rPr>
      </w:pPr>
      <w:r>
        <w:rPr>
          <w:rFonts w:cs="Times New Roman" w:ascii="Times New Roman" w:hAnsi="Times New Roman"/>
          <w:color w:val="auto"/>
          <w:sz w:val="28"/>
          <w:szCs w:val="28"/>
          <w:lang w:val="zu-ZA" w:eastAsia="en-US"/>
        </w:rPr>
        <w:t>- Hoàn thiện quy định về</w:t>
      </w:r>
      <w:r>
        <w:rPr>
          <w:rFonts w:cs="Times New Roman" w:ascii="Times New Roman" w:hAnsi="Times New Roman"/>
          <w:color w:val="auto"/>
          <w:sz w:val="28"/>
          <w:szCs w:val="28"/>
          <w:lang w:eastAsia="en-US"/>
        </w:rPr>
        <w:t xml:space="preserve"> hệ thống thông tin quốc gia về đất đai và cơ sở dữ liệu về đất đai; thủ tục hành chính về đất đai tại Luật Đất đai và các vản bản hướng dẫn thi hành. </w:t>
      </w:r>
    </w:p>
    <w:p>
      <w:pPr>
        <w:pStyle w:val="Normal"/>
        <w:spacing w:lineRule="exact" w:line="340" w:before="120" w:after="120"/>
        <w:ind w:firstLine="709"/>
        <w:jc w:val="both"/>
        <w:rPr>
          <w:rFonts w:ascii="Times New Roman" w:hAnsi="Times New Roman" w:cs="Times New Roman"/>
          <w:color w:val="auto"/>
          <w:sz w:val="28"/>
          <w:szCs w:val="28"/>
          <w:u w:val="single"/>
          <w:lang w:eastAsia="en-US"/>
        </w:rPr>
      </w:pPr>
      <w:r>
        <w:rPr>
          <w:rFonts w:cs="Times New Roman" w:ascii="Times New Roman" w:hAnsi="Times New Roman"/>
          <w:color w:val="auto"/>
          <w:sz w:val="28"/>
          <w:szCs w:val="28"/>
          <w:u w:val="single"/>
          <w:lang w:eastAsia="en-US"/>
        </w:rPr>
        <w:t xml:space="preserve">Giải pháp 2: </w:t>
      </w:r>
    </w:p>
    <w:p>
      <w:pPr>
        <w:pStyle w:val="Normal"/>
        <w:spacing w:lineRule="exact" w:line="340" w:before="120" w:after="120"/>
        <w:ind w:firstLine="709"/>
        <w:jc w:val="both"/>
        <w:rPr>
          <w:rFonts w:ascii="Times New Roman" w:hAnsi="Times New Roman" w:cs="Times New Roman"/>
          <w:color w:val="auto"/>
          <w:sz w:val="28"/>
          <w:szCs w:val="28"/>
          <w:lang w:eastAsia="en-US"/>
        </w:rPr>
      </w:pPr>
      <w:r>
        <w:rPr>
          <w:rFonts w:cs="Times New Roman" w:ascii="Times New Roman" w:hAnsi="Times New Roman"/>
          <w:color w:val="auto"/>
          <w:sz w:val="28"/>
          <w:szCs w:val="28"/>
          <w:lang w:eastAsia="en-US"/>
        </w:rPr>
        <w:t>Tiếp tục thực hiện các chính sách về đăng ký đất đai, cấp giấy chứng nhận quyền sử dụng đất, quyền sở hữu tài sản gắn liền với đất; hệ thống thông tin quốc gia về đất đai và cơ sở dữ liệu về đất đai; thủ tục hành chính về đất đai tại Luật Đất đai.</w:t>
      </w:r>
    </w:p>
    <w:p>
      <w:pPr>
        <w:pStyle w:val="Heading3"/>
        <w:spacing w:lineRule="exact" w:line="340" w:before="120" w:after="120"/>
        <w:ind w:firstLine="709"/>
        <w:jc w:val="both"/>
        <w:rPr>
          <w:rFonts w:ascii="Times New Roman" w:hAnsi="Times New Roman" w:cs="Times New Roman"/>
          <w:i/>
          <w:iCs/>
          <w:color w:val="auto"/>
          <w:sz w:val="28"/>
          <w:lang w:eastAsia="en-US"/>
        </w:rPr>
      </w:pPr>
      <w:r>
        <w:rPr>
          <w:rFonts w:cs="Times New Roman" w:ascii="Times New Roman" w:hAnsi="Times New Roman"/>
          <w:i/>
          <w:iCs/>
          <w:color w:val="auto"/>
          <w:sz w:val="28"/>
          <w:lang w:eastAsia="en-US"/>
        </w:rPr>
        <w:t xml:space="preserve">d) Giải pháp tối ưu được lựa chọn và lý do lựa chọn: </w:t>
      </w:r>
    </w:p>
    <w:p>
      <w:pPr>
        <w:pStyle w:val="Normal"/>
        <w:spacing w:lineRule="exact" w:line="340" w:before="120" w:after="120"/>
        <w:ind w:firstLine="709"/>
        <w:jc w:val="both"/>
        <w:rPr>
          <w:rFonts w:ascii="Times New Roman" w:hAnsi="Times New Roman" w:cs="Times New Roman"/>
          <w:color w:val="auto"/>
          <w:sz w:val="28"/>
          <w:szCs w:val="28"/>
          <w:lang w:eastAsia="en-US"/>
        </w:rPr>
      </w:pPr>
      <w:r>
        <w:rPr>
          <w:rFonts w:cs="Times New Roman" w:ascii="Times New Roman" w:hAnsi="Times New Roman"/>
          <w:color w:val="auto"/>
          <w:sz w:val="28"/>
          <w:szCs w:val="28"/>
          <w:lang w:eastAsia="en-US"/>
        </w:rPr>
        <w:t>Trên cơ sở phân tích, đánh giá tác động của các giải pháp, Bộ Nông nghiệp và Môi trường kiến nghị chọn Giải pháp 1 vì thực tiễn cho thấy thị trường quyền sử dụng đất và thị trường bất động sản còn tồn tại tình trạng thiếu minh bạch thông tin, đầu cơ, thao túng giá, giao dịch không chính thức, tiềm ẩn rủi ro cho người dân và doanh nghiệp. Đồng thời, để đáp ứng yêu cầu chuyển đổi số trong lĩnh vực quản lý, sử dụng đất và khai thác hiệu quả nguồn lực đất đai đòi hỏi phải hoàn thiện cơ chế quản lý, chính sách về xây dựng, hoàn thiện dữ liệu đất đai, kiểm soát giao dịch và thúc đẩy thương mại hóa quyền sử dụng đất. Việc bổ sung các giải pháp này nhằm nâng cao tính công khai, minh bạch, bảo đảm thị trường bất động sản phát triển lành mạnh, an toàn, bền vững, góp phần sử dụng đất tiết kiệm, hiệu quả và phát huy tối đa nguồn lực đất đai cho phát triển kinh tế - xã hội.</w:t>
      </w:r>
    </w:p>
    <w:p>
      <w:pPr>
        <w:pStyle w:val="Normal"/>
        <w:spacing w:lineRule="exact" w:line="340" w:before="120" w:after="120"/>
        <w:ind w:firstLine="709"/>
        <w:jc w:val="both"/>
        <w:rPr>
          <w:rFonts w:ascii="Times New Roman" w:hAnsi="Times New Roman" w:cs="Times New Roman"/>
          <w:color w:val="auto"/>
          <w:sz w:val="28"/>
          <w:szCs w:val="28"/>
          <w:lang w:eastAsia="en-US"/>
        </w:rPr>
      </w:pPr>
      <w:r>
        <w:rPr>
          <w:rFonts w:cs="Times New Roman" w:ascii="Times New Roman" w:hAnsi="Times New Roman"/>
          <w:color w:val="auto"/>
          <w:sz w:val="28"/>
          <w:szCs w:val="28"/>
          <w:lang w:eastAsia="en-US"/>
        </w:rPr>
        <w:t>Trên cơ sở phân tích, đánh giá tác động của các giải pháp, Bộ Nông nghiệp và Môi trường kiến nghị chọn Giải pháp 1 nhằm bảo đảm để tiếp tục thể chế chính sách về phát triển khi tế tư nhân theo tinh thần Nghị quyết số 68-NQ/TW; tháo gỡ những vướng mắc thực tiễn đang cản trở quyền tự chủ kinh doanh của doanh nghiệp. Cho phép kế thừa quyền sử dụng đất trả tiền thuê hằng năm khi cơ cấu lại doanh nghiệp vừa không làm thất thoát quyền sở hữu của Nhà nước đối với đất đai, vừa khơi thông nguồn lực để các chủ thể tư nhân yên tâm đầu tư, đổi mới sáng tạo, đóng góp tích cực hơn vào sự phát triển kinh tế chung của đất nước. Bảo đảm đa số diện tích đất đều xác định được chủ thể quản lý, sử dụng, rõ ràng và được cấp Giấy chứng nhận, góp phần bảo đảm cơ sở dữ liệu đất đai luôn “đúng, đủ, sạch, sống”, quản lý đất đai chặt chẽ, chống lấn chiếm đất đai, hạn chế việc tranh chấp đất đai. Đồng thời, tránh xáo trộn, khiếu kiện kéo dài và làm giảm niềm tin của người dân vào tính ổn định của pháp luật; đảm bảo công bằng giữa những người sử dụng đất có nguồn gốc đất tương tự nhau.</w:t>
      </w:r>
    </w:p>
    <w:p>
      <w:pPr>
        <w:pStyle w:val="Normal"/>
        <w:spacing w:lineRule="exact" w:line="340" w:before="120" w:after="120"/>
        <w:ind w:firstLine="709"/>
        <w:jc w:val="both"/>
        <w:rPr>
          <w:rFonts w:ascii="Times New Roman" w:hAnsi="Times New Roman" w:cs="Times New Roman"/>
          <w:color w:val="auto"/>
          <w:sz w:val="28"/>
          <w:szCs w:val="28"/>
          <w:lang w:eastAsia="en-US"/>
        </w:rPr>
      </w:pPr>
      <w:r>
        <w:rPr>
          <w:rFonts w:cs="Times New Roman" w:ascii="Times New Roman" w:hAnsi="Times New Roman"/>
          <w:color w:val="auto"/>
          <w:sz w:val="28"/>
          <w:szCs w:val="28"/>
          <w:lang w:eastAsia="en-US"/>
        </w:rPr>
        <w:t>Tăng cường phân cấp để địa phương chủ động giải quyết vướng mắc thực tiễn; đáp ứng được yêu cầu tinh gọn, thống nhất của mô hình chính quyền địa phương; phù hợp với chủ trương của Đảng về đẩy mạnh phân cấp, phân quyền gắn với nâng cao trách nhiệm của chính quyền địa phương; đồng thời phù hợp với mô hình chính quyền địa phương hai cấp đang được triển khai; góp phần nâng cao hiệu quả quản lý nhà nước về đất đai, rút ngắn thời gian giải quyết công việc, tăng tính chủ động của địa phương và tạo điều kiện xử lý kịp thời các vấn đề phát sinh từ thực tiễn, qua đó khai thác hiệu quả hơn nguồn lực đất đai phục vụ phát triển kinh tế - xã hội.</w:t>
      </w:r>
    </w:p>
    <w:p>
      <w:pPr>
        <w:pStyle w:val="Normal"/>
        <w:numPr>
          <w:ilvl w:val="0"/>
          <w:numId w:val="0"/>
        </w:numPr>
        <w:spacing w:lineRule="exact" w:line="340" w:before="120" w:after="120"/>
        <w:ind w:firstLine="709"/>
        <w:jc w:val="both"/>
        <w:outlineLvl w:val="1"/>
        <w:rPr>
          <w:rFonts w:ascii="Times New Roman" w:hAnsi="Times New Roman" w:cs="Times New Roman"/>
          <w:b/>
          <w:color w:val="auto"/>
          <w:sz w:val="28"/>
          <w:szCs w:val="28"/>
          <w:lang w:eastAsia="en-US"/>
        </w:rPr>
      </w:pPr>
      <w:r>
        <w:rPr>
          <w:rFonts w:eastAsia="等线 Light" w:cs="Times New Roman" w:ascii="Times New Roman" w:hAnsi="Times New Roman" w:eastAsiaTheme="majorEastAsia"/>
          <w:b/>
          <w:bCs/>
          <w:i/>
          <w:color w:val="auto"/>
          <w:sz w:val="28"/>
          <w:szCs w:val="28"/>
        </w:rPr>
        <w:t xml:space="preserve">7. Chính sách 7: </w:t>
      </w:r>
      <w:bookmarkStart w:id="7" w:name="_Hlk233641461"/>
      <w:r>
        <w:rPr>
          <w:rFonts w:eastAsia="等线 Light" w:cs="Times New Roman" w:ascii="Times New Roman" w:hAnsi="Times New Roman" w:eastAsiaTheme="majorEastAsia"/>
          <w:b/>
          <w:bCs/>
          <w:i/>
          <w:color w:val="auto"/>
          <w:sz w:val="28"/>
          <w:szCs w:val="28"/>
        </w:rPr>
        <w:t xml:space="preserve">Đổi mới, tăng cường công tác thanh tra, kiểm tra, giám sát, xử lý vi phạm; giải quyết tranh chấp, khiếu nại, tố cáo liên quan đến đất đai; siết chặt kỷ luật, kỷ cương, phòng, chống tham nhũng, lãng phí, tiêu cực </w:t>
      </w:r>
      <w:bookmarkEnd w:id="7"/>
    </w:p>
    <w:p>
      <w:pPr>
        <w:pStyle w:val="Heading3"/>
        <w:spacing w:lineRule="exact" w:line="340" w:before="120" w:after="120"/>
        <w:ind w:firstLine="709"/>
        <w:jc w:val="both"/>
        <w:rPr>
          <w:rFonts w:ascii="Times New Roman" w:hAnsi="Times New Roman" w:cs="Times New Roman"/>
          <w:i/>
          <w:iCs/>
          <w:color w:val="auto"/>
          <w:sz w:val="28"/>
          <w:lang w:eastAsia="en-US"/>
        </w:rPr>
      </w:pPr>
      <w:bookmarkStart w:id="8" w:name="_Hlk233625380"/>
      <w:r>
        <w:rPr>
          <w:rFonts w:cs="Times New Roman" w:ascii="Times New Roman" w:hAnsi="Times New Roman"/>
          <w:i/>
          <w:iCs/>
          <w:color w:val="auto"/>
          <w:sz w:val="28"/>
          <w:lang w:eastAsia="en-US"/>
        </w:rPr>
        <w:t>a) Mục tiêu của chính sách:</w:t>
      </w:r>
    </w:p>
    <w:p>
      <w:pPr>
        <w:pStyle w:val="Normal"/>
        <w:spacing w:lineRule="exact" w:line="340" w:before="120" w:after="120"/>
        <w:ind w:firstLine="709"/>
        <w:jc w:val="both"/>
        <w:rPr>
          <w:rFonts w:ascii="Times New Roman" w:hAnsi="Times New Roman" w:cs="Times New Roman"/>
          <w:color w:val="auto"/>
          <w:sz w:val="28"/>
          <w:szCs w:val="28"/>
          <w:lang w:eastAsia="en-US"/>
        </w:rPr>
      </w:pPr>
      <w:r>
        <w:rPr>
          <w:rFonts w:cs="Times New Roman" w:ascii="Times New Roman" w:hAnsi="Times New Roman"/>
          <w:color w:val="auto"/>
          <w:sz w:val="28"/>
          <w:szCs w:val="28"/>
          <w:lang w:eastAsia="en-US"/>
        </w:rPr>
        <w:t xml:space="preserve">- Đổi mới, tăng cường công tác kiểm tra, giám sát của Đảng, thanh tra, kiểm tra, giám sát của Nhà nước trong việc xây dựng, ban hành, tổ chức thực hiện cơ chế, chính sách về đất đai; giải quyết tranh chấp, khiếu nại, tố cáo </w:t>
      </w:r>
      <w:r>
        <w:rPr>
          <w:rFonts w:cs="Times New Roman" w:ascii="Times New Roman" w:hAnsi="Times New Roman"/>
          <w:bCs/>
          <w:color w:val="auto"/>
          <w:sz w:val="28"/>
          <w:szCs w:val="28"/>
        </w:rPr>
        <w:t>về</w:t>
      </w:r>
      <w:r>
        <w:rPr>
          <w:rFonts w:cs="Times New Roman" w:ascii="Times New Roman" w:hAnsi="Times New Roman"/>
          <w:color w:val="auto"/>
          <w:sz w:val="28"/>
          <w:szCs w:val="28"/>
          <w:lang w:eastAsia="en-US"/>
        </w:rPr>
        <w:t xml:space="preserve"> đất đai</w:t>
      </w:r>
      <w:r>
        <w:rPr>
          <w:rFonts w:cs="Times New Roman" w:ascii="Times New Roman" w:hAnsi="Times New Roman"/>
          <w:bCs/>
          <w:color w:val="auto"/>
          <w:sz w:val="28"/>
          <w:szCs w:val="28"/>
        </w:rPr>
        <w:t>; khuyến khích hoà giải tranh chấp đất đai</w:t>
      </w:r>
      <w:r>
        <w:rPr>
          <w:rFonts w:cs="Times New Roman" w:ascii="Times New Roman" w:hAnsi="Times New Roman"/>
          <w:color w:val="auto"/>
          <w:sz w:val="28"/>
          <w:szCs w:val="28"/>
          <w:lang w:eastAsia="en-US"/>
        </w:rPr>
        <w:t xml:space="preserve">; siết chặt kỷ luật, kỷ cương, phòng, chống tham nhũng, tiêu cực </w:t>
      </w:r>
      <w:r>
        <w:rPr>
          <w:rFonts w:cs="Times New Roman" w:ascii="Times New Roman" w:hAnsi="Times New Roman"/>
          <w:color w:val="auto"/>
          <w:sz w:val="28"/>
          <w:szCs w:val="28"/>
        </w:rPr>
        <w:t>trong lĩnh vực đất đai</w:t>
      </w:r>
      <w:r>
        <w:rPr>
          <w:rFonts w:cs="Times New Roman" w:ascii="Times New Roman" w:hAnsi="Times New Roman"/>
          <w:color w:val="auto"/>
          <w:sz w:val="28"/>
          <w:szCs w:val="28"/>
          <w:lang w:eastAsia="en-US"/>
        </w:rPr>
        <w:t xml:space="preserve">. Tăng cường năng lực, hiệu quả hoạt động của hệ thống các cơ quan tư pháp; </w:t>
      </w:r>
      <w:r>
        <w:rPr>
          <w:rFonts w:cs="Times New Roman" w:ascii="Times New Roman" w:hAnsi="Times New Roman"/>
          <w:color w:val="auto"/>
          <w:sz w:val="28"/>
          <w:szCs w:val="28"/>
        </w:rPr>
        <w:t>thực hiện phương châm giải quyết triệt để tranh chấp về đất đai từ cơ sở, tránh vượt cấp lên Trung ương.</w:t>
      </w:r>
    </w:p>
    <w:p>
      <w:pPr>
        <w:pStyle w:val="Normal"/>
        <w:spacing w:lineRule="exact" w:line="340" w:before="120" w:after="120"/>
        <w:ind w:firstLine="709"/>
        <w:jc w:val="both"/>
        <w:rPr>
          <w:rFonts w:ascii="Times New Roman" w:hAnsi="Times New Roman" w:cs="Times New Roman"/>
          <w:color w:val="auto"/>
          <w:sz w:val="28"/>
          <w:szCs w:val="28"/>
          <w:lang w:eastAsia="en-US"/>
        </w:rPr>
      </w:pPr>
      <w:r>
        <w:rPr>
          <w:rFonts w:cs="Times New Roman" w:ascii="Times New Roman" w:hAnsi="Times New Roman"/>
          <w:color w:val="auto"/>
          <w:sz w:val="28"/>
          <w:szCs w:val="28"/>
          <w:lang w:eastAsia="en-US"/>
        </w:rPr>
        <w:t>- Quản lý đất đai chặt chẽ, minh bạch, công bằng, hiệu quả, bền vững, đưa đất đai thực sự trở thành nguồn lực chiến lược, lợi thế cạnh tranh và động lực phát triển đất nước trong giai đoạn mới, góp phần nâng cao đời sống của Nhân dân, tăng cường niềm tin của Nhân dân đối với Đảng và Nhà nước.</w:t>
      </w:r>
    </w:p>
    <w:p>
      <w:pPr>
        <w:pStyle w:val="Normal"/>
        <w:spacing w:lineRule="exact" w:line="340" w:before="120" w:after="120"/>
        <w:ind w:firstLine="709"/>
        <w:jc w:val="both"/>
        <w:rPr>
          <w:rFonts w:ascii="Times New Roman" w:hAnsi="Times New Roman" w:cs="Times New Roman"/>
          <w:color w:val="auto"/>
          <w:sz w:val="28"/>
          <w:szCs w:val="28"/>
          <w:lang w:eastAsia="en-US"/>
        </w:rPr>
      </w:pPr>
      <w:r>
        <w:rPr>
          <w:rFonts w:cs="Times New Roman" w:ascii="Times New Roman" w:hAnsi="Times New Roman"/>
          <w:bCs/>
          <w:iCs/>
          <w:color w:val="auto"/>
          <w:sz w:val="28"/>
          <w:szCs w:val="28"/>
        </w:rPr>
        <w:t>- Tập trung nguồn lực đầu tư, chỉ đạo quyết liệt và nâng cao trách nhiệm của các cơ quan Trung ương, chính quyền địa phương trong việc giải quyết cơ bản những hạn chế, khuyết điểm, vướng mắc kéo dài liên quan đến quản lý và sử dụng đất.</w:t>
      </w:r>
    </w:p>
    <w:p>
      <w:pPr>
        <w:pStyle w:val="Heading3"/>
        <w:spacing w:lineRule="exact" w:line="340" w:before="120" w:after="120"/>
        <w:ind w:firstLine="709"/>
        <w:jc w:val="both"/>
        <w:rPr>
          <w:rFonts w:ascii="Times New Roman" w:hAnsi="Times New Roman" w:cs="Times New Roman"/>
          <w:i/>
          <w:iCs/>
          <w:color w:val="auto"/>
          <w:sz w:val="28"/>
          <w:lang w:eastAsia="en-US"/>
        </w:rPr>
      </w:pPr>
      <w:r>
        <w:rPr>
          <w:rFonts w:cs="Times New Roman" w:ascii="Times New Roman" w:hAnsi="Times New Roman"/>
          <w:i/>
          <w:iCs/>
          <w:color w:val="auto"/>
          <w:sz w:val="28"/>
          <w:lang w:eastAsia="en-US"/>
        </w:rPr>
        <w:t xml:space="preserve">b) Nội dung của chính sách: </w:t>
      </w:r>
    </w:p>
    <w:p>
      <w:pPr>
        <w:pStyle w:val="Normal"/>
        <w:spacing w:lineRule="exact" w:line="340" w:before="120" w:after="120"/>
        <w:ind w:firstLine="709"/>
        <w:jc w:val="both"/>
        <w:rPr>
          <w:rFonts w:ascii="Times New Roman" w:hAnsi="Times New Roman" w:cs="Times New Roman"/>
          <w:color w:val="auto"/>
          <w:sz w:val="28"/>
          <w:szCs w:val="28"/>
          <w:lang w:eastAsia="en-US"/>
        </w:rPr>
      </w:pPr>
      <w:r>
        <w:rPr>
          <w:rFonts w:cs="Times New Roman" w:ascii="Times New Roman" w:hAnsi="Times New Roman"/>
          <w:color w:val="auto"/>
          <w:sz w:val="28"/>
          <w:szCs w:val="28"/>
          <w:lang w:eastAsia="en-US"/>
        </w:rPr>
        <w:t>- Quy định rõ trách nhiệm của tổ chức, cá nhân có thẩm quyền trong việc xử lý hành vi vi phạm về đất đai.</w:t>
      </w:r>
    </w:p>
    <w:p>
      <w:pPr>
        <w:pStyle w:val="Normal"/>
        <w:spacing w:lineRule="exact" w:line="340" w:before="120" w:after="120"/>
        <w:ind w:firstLine="709"/>
        <w:jc w:val="both"/>
        <w:rPr>
          <w:rFonts w:ascii="Times New Roman" w:hAnsi="Times New Roman" w:cs="Times New Roman"/>
          <w:color w:val="auto"/>
          <w:sz w:val="28"/>
          <w:szCs w:val="28"/>
          <w:lang w:eastAsia="en-US"/>
        </w:rPr>
      </w:pPr>
      <w:r>
        <w:rPr>
          <w:rFonts w:cs="Times New Roman" w:ascii="Times New Roman" w:hAnsi="Times New Roman"/>
          <w:color w:val="auto"/>
          <w:sz w:val="28"/>
          <w:szCs w:val="28"/>
          <w:lang w:eastAsia="en-US"/>
        </w:rPr>
        <w:t xml:space="preserve">- Bổ sung chính sách phát huy </w:t>
      </w:r>
      <w:r>
        <w:rPr>
          <w:rFonts w:cs="Times New Roman" w:ascii="Times New Roman" w:hAnsi="Times New Roman"/>
          <w:bCs/>
          <w:color w:val="auto"/>
          <w:spacing w:val="4"/>
          <w:sz w:val="28"/>
          <w:szCs w:val="28"/>
        </w:rPr>
        <w:t>vai trò, trách nhiệm của cấp uỷ</w:t>
      </w:r>
      <w:r>
        <w:rPr>
          <w:rFonts w:cs="Times New Roman" w:ascii="Times New Roman" w:hAnsi="Times New Roman"/>
          <w:color w:val="auto"/>
          <w:sz w:val="28"/>
          <w:szCs w:val="28"/>
          <w:lang w:eastAsia="en-US"/>
        </w:rPr>
        <w:t>, chính quyền các cấp, nhất là cấp xã trong giải quyết tranh chấp, khiếu nại, tố cáo về đất đai</w:t>
      </w:r>
      <w:bookmarkStart w:id="9" w:name="_Hlk236400962"/>
      <w:r>
        <w:rPr>
          <w:rFonts w:cs="Times New Roman" w:ascii="Times New Roman" w:hAnsi="Times New Roman"/>
          <w:bCs/>
          <w:color w:val="auto"/>
          <w:sz w:val="28"/>
          <w:szCs w:val="28"/>
        </w:rPr>
        <w:t>; khuyến khích hoà giải tranh chấp đất đai</w:t>
      </w:r>
      <w:bookmarkEnd w:id="9"/>
      <w:r>
        <w:rPr>
          <w:rFonts w:cs="Times New Roman" w:ascii="Times New Roman" w:hAnsi="Times New Roman"/>
          <w:color w:val="auto"/>
          <w:sz w:val="28"/>
          <w:szCs w:val="28"/>
          <w:lang w:eastAsia="en-US"/>
        </w:rPr>
        <w:t xml:space="preserve">; tăng cường năng lực, hiệu quả hoạt động của hệ thống các cơ quan tư pháp trong việc giải quyết, xử lý tranh chấp, khiếu kiện về đất đai; </w:t>
      </w:r>
      <w:r>
        <w:rPr>
          <w:rFonts w:cs="Times New Roman" w:ascii="Times New Roman" w:hAnsi="Times New Roman"/>
          <w:color w:val="auto"/>
          <w:sz w:val="28"/>
          <w:szCs w:val="28"/>
        </w:rPr>
        <w:t>thực hiện phương châm giải quyết triệt để tranh chấp về đất đai từ cơ sở, tránh vượt cấp lên Trung ương.</w:t>
      </w:r>
    </w:p>
    <w:p>
      <w:pPr>
        <w:pStyle w:val="Normal"/>
        <w:spacing w:lineRule="exact" w:line="340" w:before="120" w:after="120"/>
        <w:ind w:firstLine="709"/>
        <w:jc w:val="both"/>
        <w:rPr>
          <w:rFonts w:ascii="Times New Roman" w:hAnsi="Times New Roman" w:cs="Times New Roman"/>
          <w:color w:val="auto"/>
          <w:sz w:val="28"/>
          <w:szCs w:val="28"/>
          <w:lang w:eastAsia="en-US"/>
        </w:rPr>
      </w:pPr>
      <w:r>
        <w:rPr>
          <w:rFonts w:cs="Times New Roman" w:ascii="Times New Roman" w:hAnsi="Times New Roman"/>
          <w:color w:val="auto"/>
          <w:sz w:val="28"/>
          <w:szCs w:val="28"/>
          <w:lang w:eastAsia="en-US"/>
        </w:rPr>
        <w:t>- Bổ sung chính sách để xây dựng hệ thống kiểm soát quyền lực, kiểm tra, giám sát, thanh tra trên nền tảng dữ liệu số thống nhất, liên thông,</w:t>
      </w:r>
      <w:r>
        <w:rPr>
          <w:rFonts w:cs="Times New Roman" w:ascii="Times New Roman" w:hAnsi="Times New Roman"/>
          <w:bCs/>
          <w:color w:val="auto"/>
          <w:sz w:val="28"/>
          <w:szCs w:val="28"/>
        </w:rPr>
        <w:t xml:space="preserve"> theo</w:t>
      </w:r>
      <w:r>
        <w:rPr>
          <w:rFonts w:cs="Times New Roman" w:ascii="Times New Roman" w:hAnsi="Times New Roman"/>
          <w:color w:val="auto"/>
          <w:sz w:val="28"/>
          <w:szCs w:val="28"/>
          <w:lang w:eastAsia="en-US"/>
        </w:rPr>
        <w:t xml:space="preserve"> thời gian thực; </w:t>
      </w:r>
      <w:r>
        <w:rPr>
          <w:rFonts w:cs="Times New Roman" w:ascii="Times New Roman" w:hAnsi="Times New Roman"/>
          <w:bCs/>
          <w:color w:val="auto"/>
          <w:sz w:val="28"/>
          <w:szCs w:val="28"/>
        </w:rPr>
        <w:t>nâng cao năng lực cảnh báo, phát hiện và xử lý kịp thời các vi phạm trong quản lý, sử dụng đất</w:t>
      </w:r>
      <w:r>
        <w:rPr>
          <w:rFonts w:cs="Times New Roman" w:ascii="Times New Roman" w:hAnsi="Times New Roman"/>
          <w:color w:val="auto"/>
          <w:sz w:val="28"/>
          <w:szCs w:val="28"/>
          <w:lang w:eastAsia="en-US"/>
        </w:rPr>
        <w:t>.</w:t>
      </w:r>
    </w:p>
    <w:p>
      <w:pPr>
        <w:pStyle w:val="Normal"/>
        <w:spacing w:lineRule="exact" w:line="340" w:before="120" w:after="120"/>
        <w:ind w:firstLine="709"/>
        <w:jc w:val="both"/>
        <w:rPr>
          <w:rFonts w:ascii="Times New Roman" w:hAnsi="Times New Roman" w:cs="Times New Roman"/>
          <w:color w:val="auto"/>
          <w:sz w:val="28"/>
          <w:szCs w:val="28"/>
          <w:lang w:eastAsia="en-US"/>
        </w:rPr>
      </w:pPr>
      <w:r>
        <w:rPr>
          <w:rFonts w:cs="Times New Roman" w:ascii="Times New Roman" w:hAnsi="Times New Roman"/>
          <w:color w:val="auto"/>
          <w:sz w:val="28"/>
          <w:szCs w:val="28"/>
          <w:lang w:eastAsia="en-US"/>
        </w:rPr>
        <w:t>- Bổ sung chính sách đặc thù để xử lý dứt điểm, công khai, minh bạch đối với đất có nguồn gốc từ nông, lâm trường quốc doanh; đất công, trụ sở dôi dư, đất sau cổ phần hóa, thoái vốn, dự án tồn đọng, kéo dài.</w:t>
      </w:r>
    </w:p>
    <w:p>
      <w:pPr>
        <w:pStyle w:val="Normal"/>
        <w:spacing w:lineRule="exact" w:line="340" w:before="120" w:after="120"/>
        <w:ind w:firstLine="709"/>
        <w:jc w:val="both"/>
        <w:rPr>
          <w:rFonts w:ascii="Times New Roman" w:hAnsi="Times New Roman" w:cs="Times New Roman"/>
          <w:color w:val="auto"/>
          <w:sz w:val="28"/>
          <w:szCs w:val="28"/>
          <w:lang w:eastAsia="en-US"/>
        </w:rPr>
      </w:pPr>
      <w:r>
        <w:rPr>
          <w:rFonts w:cs="Times New Roman" w:ascii="Times New Roman" w:hAnsi="Times New Roman"/>
          <w:color w:val="auto"/>
          <w:sz w:val="28"/>
          <w:szCs w:val="28"/>
          <w:lang w:eastAsia="en-US"/>
        </w:rPr>
        <w:t xml:space="preserve">- Sửa đổi, bổ sung quy định đối với những dự án được nhà nước giao đất, cho thuê đất nhưng không sử dụng đất; </w:t>
      </w:r>
      <w:r>
        <w:rPr>
          <w:rFonts w:cs="Times New Roman" w:ascii="Times New Roman" w:hAnsi="Times New Roman"/>
          <w:color w:val="auto"/>
          <w:sz w:val="28"/>
          <w:lang w:eastAsia="en-US"/>
        </w:rPr>
        <w:t>quy định chế tài xử lý đối với việc không đưa đất vào sử dụng, chậm đưa đất vào sử dụng để hoang hóa, lãng phí.</w:t>
      </w:r>
    </w:p>
    <w:p>
      <w:pPr>
        <w:pStyle w:val="Heading3"/>
        <w:spacing w:lineRule="exact" w:line="340" w:before="120" w:after="120"/>
        <w:ind w:firstLine="709"/>
        <w:jc w:val="both"/>
        <w:rPr>
          <w:rFonts w:ascii="Times New Roman" w:hAnsi="Times New Roman" w:cs="Times New Roman"/>
          <w:i/>
          <w:iCs/>
          <w:color w:val="auto"/>
          <w:sz w:val="28"/>
          <w:lang w:eastAsia="en-US"/>
        </w:rPr>
      </w:pPr>
      <w:r>
        <w:rPr>
          <w:rFonts w:cs="Times New Roman" w:ascii="Times New Roman" w:hAnsi="Times New Roman"/>
          <w:i/>
          <w:iCs/>
          <w:color w:val="auto"/>
          <w:sz w:val="28"/>
          <w:lang w:eastAsia="en-US"/>
        </w:rPr>
        <w:t xml:space="preserve">c) Các giải pháp thực hiện chính sách: </w:t>
      </w:r>
    </w:p>
    <w:p>
      <w:pPr>
        <w:pStyle w:val="Normal"/>
        <w:spacing w:lineRule="exact" w:line="340" w:before="120" w:after="120"/>
        <w:ind w:firstLine="709"/>
        <w:jc w:val="both"/>
        <w:rPr>
          <w:rFonts w:ascii="Times New Roman" w:hAnsi="Times New Roman" w:cs="Times New Roman"/>
          <w:color w:val="auto"/>
          <w:sz w:val="28"/>
          <w:szCs w:val="28"/>
          <w:u w:val="single"/>
          <w:lang w:eastAsia="en-US"/>
        </w:rPr>
      </w:pPr>
      <w:r>
        <w:rPr>
          <w:rFonts w:cs="Times New Roman" w:ascii="Times New Roman" w:hAnsi="Times New Roman"/>
          <w:color w:val="auto"/>
          <w:sz w:val="28"/>
          <w:szCs w:val="28"/>
          <w:u w:val="single"/>
          <w:lang w:eastAsia="en-US"/>
        </w:rPr>
        <w:t xml:space="preserve">- Giải pháp 1: </w:t>
      </w:r>
    </w:p>
    <w:p>
      <w:pPr>
        <w:pStyle w:val="Normal"/>
        <w:spacing w:lineRule="exact" w:line="340" w:before="120" w:after="120"/>
        <w:ind w:firstLine="709"/>
        <w:jc w:val="both"/>
        <w:rPr>
          <w:rFonts w:ascii="Times New Roman" w:hAnsi="Times New Roman" w:cs="Times New Roman"/>
          <w:color w:val="auto"/>
          <w:sz w:val="28"/>
          <w:szCs w:val="28"/>
          <w:lang w:eastAsia="en-US"/>
        </w:rPr>
      </w:pPr>
      <w:r>
        <w:rPr>
          <w:rFonts w:cs="Times New Roman" w:ascii="Times New Roman" w:hAnsi="Times New Roman"/>
          <w:color w:val="auto"/>
          <w:sz w:val="28"/>
          <w:szCs w:val="28"/>
          <w:lang w:eastAsia="en-US"/>
        </w:rPr>
        <w:t>+ Luật hóa các quy định làm rõ trách nhiệm của tổ chức, cá nhân có thẩm quyền và cương quyết thu hồi đất bỏ hoang, sử dụng sai mục đích, lãng phí.</w:t>
      </w:r>
    </w:p>
    <w:p>
      <w:pPr>
        <w:pStyle w:val="Normal"/>
        <w:spacing w:lineRule="exact" w:line="340" w:before="120" w:after="120"/>
        <w:ind w:firstLine="709"/>
        <w:jc w:val="both"/>
        <w:rPr>
          <w:rFonts w:ascii="Times New Roman" w:hAnsi="Times New Roman" w:cs="Times New Roman"/>
          <w:color w:val="auto"/>
          <w:sz w:val="28"/>
          <w:szCs w:val="28"/>
          <w:lang w:eastAsia="en-US"/>
        </w:rPr>
      </w:pPr>
      <w:r>
        <w:rPr>
          <w:rFonts w:cs="Times New Roman" w:ascii="Times New Roman" w:hAnsi="Times New Roman"/>
          <w:color w:val="auto"/>
          <w:sz w:val="28"/>
          <w:szCs w:val="28"/>
          <w:lang w:eastAsia="en-US"/>
        </w:rPr>
        <w:t>+ Sửa đổi, bổ sung quy định về giám sát, theo dõi và đánh giá việc quản lý, sử dụng đất đai, kiểm tra, giải quyết tranh chấp, khiếu nại, tố cáo và xử lý vi phạm pháp luật về đất đai tại Luật Đất đai.</w:t>
      </w:r>
    </w:p>
    <w:p>
      <w:pPr>
        <w:pStyle w:val="Normal"/>
        <w:spacing w:lineRule="exact" w:line="340" w:before="120" w:after="120"/>
        <w:ind w:firstLine="709"/>
        <w:jc w:val="both"/>
        <w:rPr>
          <w:rFonts w:ascii="Times New Roman" w:hAnsi="Times New Roman" w:cs="Times New Roman"/>
          <w:color w:val="auto"/>
          <w:sz w:val="28"/>
          <w:szCs w:val="28"/>
          <w:lang w:eastAsia="en-US"/>
        </w:rPr>
      </w:pPr>
      <w:r>
        <w:rPr>
          <w:rFonts w:cs="Times New Roman" w:ascii="Times New Roman" w:hAnsi="Times New Roman"/>
          <w:color w:val="auto"/>
          <w:sz w:val="28"/>
          <w:szCs w:val="28"/>
          <w:lang w:eastAsia="en-US"/>
        </w:rPr>
        <w:t>+ Sửa đổi, bổ sung quy định chế độ sử dụng đất đối với đất do các công ty nông, lâm nghiệp quản lý, sử dụng nhằm giải quyết căn cơ vấn đề đất có nguồn gốc từ nông, lâm trường, trong đó quy định rõ đối tượng xử lý, trách nhiệm giải quyết và phương án giải quyết.</w:t>
      </w:r>
    </w:p>
    <w:p>
      <w:pPr>
        <w:pStyle w:val="Normal"/>
        <w:spacing w:lineRule="exact" w:line="340" w:before="120" w:after="120"/>
        <w:ind w:firstLine="709"/>
        <w:jc w:val="both"/>
        <w:rPr>
          <w:rFonts w:ascii="Times New Roman" w:hAnsi="Times New Roman" w:cs="Times New Roman"/>
          <w:color w:val="auto"/>
          <w:sz w:val="28"/>
          <w:lang w:eastAsia="en-US"/>
        </w:rPr>
      </w:pPr>
      <w:r>
        <w:rPr>
          <w:rFonts w:cs="Times New Roman" w:ascii="Times New Roman" w:hAnsi="Times New Roman"/>
          <w:color w:val="auto"/>
          <w:sz w:val="28"/>
          <w:szCs w:val="28"/>
          <w:lang w:eastAsia="en-US"/>
        </w:rPr>
        <w:t>+ Bổ sung chế tài xử lý đối với việc không đưa đất vào sử dụng, chậm đưa đất vào sử dụng để hoang hóa, lãng phí theo hướng trường hợp không đưa đất vào sử dụng thì xử lý vi phạm hành chính buộc phải đưa đất vào sử dụng, trường hợp không thực hiện thì thu hồi đất; trường hợp chậm đưa đất vào sử dụng thì áp dụng biện pháp kinh tế bằng hình thức nộp tiền lũy tiến theo thời gian chậm đưa đất vào sử dụng, trường hợp không thực hiện thì thu hồi đất. Việc xử lý vi phạm về đất đai phải đồng bộ với việc xử lý vi phạm đối với dự án đầu tư.</w:t>
      </w:r>
    </w:p>
    <w:p>
      <w:pPr>
        <w:pStyle w:val="Normal"/>
        <w:spacing w:lineRule="exact" w:line="340" w:before="120" w:after="120"/>
        <w:ind w:firstLine="709"/>
        <w:jc w:val="both"/>
        <w:rPr>
          <w:rFonts w:ascii="Times New Roman" w:hAnsi="Times New Roman" w:cs="Times New Roman"/>
          <w:color w:val="auto"/>
          <w:sz w:val="28"/>
          <w:szCs w:val="28"/>
          <w:lang w:eastAsia="en-US"/>
        </w:rPr>
      </w:pPr>
      <w:r>
        <w:rPr>
          <w:rFonts w:cs="Times New Roman" w:ascii="Times New Roman" w:hAnsi="Times New Roman"/>
          <w:color w:val="auto"/>
          <w:spacing w:val="-8"/>
          <w:sz w:val="28"/>
          <w:szCs w:val="28"/>
          <w:lang w:eastAsia="en-US"/>
        </w:rPr>
        <w:t>+ Sửa đổi, bổ sung các quy định về thẩm quyền giải quyết tranh chấp, khiếu nại, tố cáo liên quan đến đất đai cho phù hợp với tổ chức chính quyền địa phương 02 cấp</w:t>
      </w:r>
      <w:r>
        <w:rPr>
          <w:rFonts w:cs="Times New Roman" w:ascii="Times New Roman" w:hAnsi="Times New Roman"/>
          <w:color w:val="auto"/>
          <w:sz w:val="28"/>
          <w:szCs w:val="28"/>
          <w:lang w:eastAsia="en-US"/>
        </w:rPr>
        <w:t>.</w:t>
      </w:r>
    </w:p>
    <w:p>
      <w:pPr>
        <w:pStyle w:val="Normal"/>
        <w:spacing w:lineRule="exact" w:line="340" w:before="120" w:after="120"/>
        <w:ind w:firstLine="709"/>
        <w:jc w:val="both"/>
        <w:rPr>
          <w:rFonts w:ascii="Times New Roman" w:hAnsi="Times New Roman" w:cs="Times New Roman"/>
          <w:color w:val="auto"/>
          <w:sz w:val="28"/>
          <w:szCs w:val="28"/>
          <w:lang w:eastAsia="en-US"/>
        </w:rPr>
      </w:pPr>
      <w:r>
        <w:rPr>
          <w:rFonts w:cs="Times New Roman" w:ascii="Times New Roman" w:hAnsi="Times New Roman"/>
          <w:color w:val="auto"/>
          <w:sz w:val="28"/>
          <w:szCs w:val="28"/>
          <w:u w:val="single"/>
          <w:lang w:eastAsia="en-US"/>
        </w:rPr>
        <w:t>Giải pháp 2:</w:t>
      </w:r>
      <w:r>
        <w:rPr>
          <w:rFonts w:cs="Times New Roman" w:ascii="Times New Roman" w:hAnsi="Times New Roman"/>
          <w:color w:val="auto"/>
          <w:sz w:val="28"/>
          <w:szCs w:val="28"/>
          <w:lang w:eastAsia="en-US"/>
        </w:rPr>
        <w:t xml:space="preserve"> Tiếp tục thực hiện các chính sách này tại Luật Đất đai.</w:t>
      </w:r>
    </w:p>
    <w:p>
      <w:pPr>
        <w:pStyle w:val="Heading3"/>
        <w:spacing w:lineRule="exact" w:line="340" w:before="120" w:after="120"/>
        <w:ind w:firstLine="709"/>
        <w:jc w:val="both"/>
        <w:rPr>
          <w:rFonts w:ascii="Times New Roman" w:hAnsi="Times New Roman" w:cs="Times New Roman"/>
          <w:i/>
          <w:iCs/>
          <w:color w:val="auto"/>
          <w:sz w:val="28"/>
          <w:lang w:eastAsia="en-US"/>
        </w:rPr>
      </w:pPr>
      <w:r>
        <w:rPr>
          <w:rFonts w:cs="Times New Roman" w:ascii="Times New Roman" w:hAnsi="Times New Roman"/>
          <w:i/>
          <w:iCs/>
          <w:color w:val="auto"/>
          <w:sz w:val="28"/>
          <w:lang w:eastAsia="en-US"/>
        </w:rPr>
        <w:t xml:space="preserve">d) Giải pháp tối ưu được lựa chọn và lý do lựa chọn: </w:t>
      </w:r>
    </w:p>
    <w:p>
      <w:pPr>
        <w:pStyle w:val="Normal"/>
        <w:spacing w:lineRule="exact" w:line="340" w:before="120" w:after="120"/>
        <w:ind w:firstLine="709"/>
        <w:jc w:val="both"/>
        <w:rPr>
          <w:rFonts w:ascii="Times New Roman" w:hAnsi="Times New Roman" w:cs="Times New Roman"/>
          <w:color w:val="auto"/>
          <w:sz w:val="28"/>
          <w:szCs w:val="28"/>
        </w:rPr>
      </w:pPr>
      <w:r>
        <w:rPr>
          <w:rFonts w:cs="Times New Roman" w:ascii="Times New Roman" w:hAnsi="Times New Roman"/>
          <w:color w:val="auto"/>
          <w:sz w:val="28"/>
          <w:szCs w:val="28"/>
          <w:lang w:eastAsia="en-US"/>
        </w:rPr>
        <w:t>Trên cơ sở phân tích, đánh giá tác động của các giải pháp, Bộ Nông nghiệp và Môi trường kiến nghị chọn Giải pháp 1 để chuyển mạnh từ hậu kiểm sang phòng ngừa, giám sát chủ động, bảo đảm mọi quyết định quản lý đất đai được công khai, minh bạch, truy xuất được trách nhiệm của từng tổ chức, cá nhân, nhằm ngăn chặn từ sớm, từ xa đối với tham nhũng, tiêu cực, lợi ích nhóm, thất thoát, lãng phí đất đai. Đồng thời, nhằm nâng cao hiệu lực, hiệu quả trong giải quyết khiếu nại, tố cáo, tranh chấp đất đai, nêu cao vai trò, trách nhiệm của các cơ quan hành chính và cơ quan tư pháp; khắc phục được tình trạng giải quyết tranh chấp, khiếu nại, tố về đất đai kéo dài không xử lý dứt điểm,  xử lý về tài chính đối với những dự án chậm đưa đất vào sử dụng, xử lý vi phạm về đất đai do lịch sử để lại đến nay chưa được giải quyết dứt điểm để phát huy nguồn lực đưa đất vào sử dụng. Phù hợp với tinh thần Nghị quyết số 21-NQ/TW ngày 28/7/2026 Hội nghị lần thứ ba Ban chấp hành Trung ương Đảng khóa XI</w:t>
      </w:r>
      <w:r>
        <w:rPr>
          <w:rFonts w:cs="Times New Roman" w:ascii="Times New Roman" w:hAnsi="Times New Roman"/>
          <w:color w:val="auto"/>
          <w:sz w:val="28"/>
          <w:szCs w:val="28"/>
          <w:lang w:val="en-US" w:eastAsia="en-US"/>
        </w:rPr>
        <w:t>V</w:t>
      </w:r>
      <w:r>
        <w:rPr>
          <w:rFonts w:cs="Times New Roman" w:ascii="Times New Roman" w:hAnsi="Times New Roman"/>
          <w:color w:val="auto"/>
          <w:sz w:val="28"/>
          <w:szCs w:val="28"/>
          <w:lang w:eastAsia="en-US"/>
        </w:rPr>
        <w:t>.</w:t>
      </w:r>
      <w:bookmarkEnd w:id="8"/>
      <w:r>
        <w:rPr>
          <w:rFonts w:cs="Times New Roman" w:ascii="Times New Roman" w:hAnsi="Times New Roman"/>
          <w:color w:val="auto"/>
          <w:sz w:val="28"/>
          <w:szCs w:val="28"/>
        </w:rPr>
        <w:t xml:space="preserve"> </w:t>
      </w:r>
    </w:p>
    <w:p>
      <w:pPr>
        <w:pStyle w:val="Normal"/>
        <w:numPr>
          <w:ilvl w:val="0"/>
          <w:numId w:val="0"/>
        </w:numPr>
        <w:spacing w:lineRule="exact" w:line="340" w:before="120" w:after="120"/>
        <w:ind w:firstLine="709"/>
        <w:jc w:val="both"/>
        <w:outlineLvl w:val="0"/>
        <w:rPr>
          <w:rFonts w:ascii="Times New Roman" w:hAnsi="Times New Roman" w:cs="Times New Roman"/>
          <w:b/>
          <w:bCs/>
          <w:color w:val="auto"/>
          <w:spacing w:val="-8"/>
          <w:sz w:val="28"/>
          <w:szCs w:val="28"/>
        </w:rPr>
      </w:pPr>
      <w:r>
        <w:rPr>
          <w:rFonts w:cs="Times New Roman" w:ascii="Times New Roman" w:hAnsi="Times New Roman"/>
          <w:b/>
          <w:bCs/>
          <w:color w:val="auto"/>
          <w:spacing w:val="-8"/>
          <w:sz w:val="28"/>
          <w:szCs w:val="28"/>
        </w:rPr>
        <w:t>VI. DỰ KIẾN NGUỒN LỰC, ĐIỀU KIỆN BẢO ĐẢM CHO VIỆC THỰC HIỆN CHÍNH SÁCH</w:t>
      </w:r>
    </w:p>
    <w:p>
      <w:pPr>
        <w:pStyle w:val="Normal"/>
        <w:numPr>
          <w:ilvl w:val="0"/>
          <w:numId w:val="0"/>
        </w:numPr>
        <w:spacing w:lineRule="exact" w:line="340" w:before="120" w:after="120"/>
        <w:ind w:firstLine="709"/>
        <w:jc w:val="both"/>
        <w:outlineLvl w:val="1"/>
        <w:rPr>
          <w:rFonts w:ascii="Times New Roman" w:hAnsi="Times New Roman" w:cs="Times New Roman"/>
          <w:b/>
          <w:bCs/>
          <w:iCs/>
          <w:color w:val="auto"/>
          <w:sz w:val="28"/>
          <w:szCs w:val="28"/>
        </w:rPr>
      </w:pPr>
      <w:r>
        <w:rPr>
          <w:rFonts w:cs="Times New Roman" w:ascii="Times New Roman" w:hAnsi="Times New Roman"/>
          <w:b/>
          <w:bCs/>
          <w:iCs/>
          <w:color w:val="auto"/>
          <w:sz w:val="28"/>
          <w:szCs w:val="28"/>
        </w:rPr>
        <w:t>1. Ban hành các văn bản quy định chi tiết, hướng dẫn thi hành</w:t>
      </w:r>
    </w:p>
    <w:p>
      <w:pPr>
        <w:pStyle w:val="Normal"/>
        <w:spacing w:lineRule="exact" w:line="350" w:before="120" w:after="120"/>
        <w:ind w:firstLine="709"/>
        <w:jc w:val="both"/>
        <w:rPr>
          <w:rFonts w:ascii="Times New Roman" w:hAnsi="Times New Roman" w:cs="Times New Roman"/>
          <w:color w:val="auto"/>
          <w:sz w:val="28"/>
          <w:szCs w:val="28"/>
          <w:lang w:val="pl-PL" w:eastAsia="en-US"/>
        </w:rPr>
      </w:pPr>
      <w:r>
        <w:rPr>
          <w:rFonts w:cs="Times New Roman" w:ascii="Times New Roman" w:hAnsi="Times New Roman"/>
          <w:color w:val="auto"/>
          <w:spacing w:val="-4"/>
          <w:sz w:val="28"/>
          <w:szCs w:val="28"/>
          <w:lang w:val="pl-PL" w:eastAsia="en-US"/>
        </w:rPr>
        <w:t xml:space="preserve">Sau khi Luật Đất đai (sửa đổi) được ban hành, Chính phủ sẽ giao các Bộ, ngành liên quan chủ trì xây dựng, trình cấp có thẩm quyền ban hành hoặc ban hành theo thẩm quyền các văn bản quy định chi tiết và hướng dẫn thi hành Luật, bảo đảm đầy đủ nội dung, chất lượng, thống nhất và đúng tiến độ, tạo điều kiện triển khai đồng bộ, hiệu quả trong thực tiễn. Đồng thời, Chính phủ sẽ chỉ đạo các cơ quan chủ trì sửa đổi các luật có liên quan để thể chế đồng bộ, kịp thời, đầy đủ chính sách mới của Đảng (hiện nay, hồ sơ </w:t>
      </w:r>
      <w:r>
        <w:rPr>
          <w:rFonts w:cs="Times New Roman" w:ascii="Times New Roman" w:hAnsi="Times New Roman"/>
          <w:iCs/>
          <w:color w:val="auto"/>
          <w:spacing w:val="-4"/>
          <w:sz w:val="28"/>
          <w:szCs w:val="28"/>
          <w:lang w:val="pt-BR"/>
        </w:rPr>
        <w:t xml:space="preserve">đề án </w:t>
      </w:r>
      <w:r>
        <w:rPr>
          <w:rFonts w:cs="Times New Roman" w:ascii="Times New Roman" w:hAnsi="Times New Roman"/>
          <w:i/>
          <w:color w:val="auto"/>
          <w:spacing w:val="-4"/>
          <w:sz w:val="28"/>
          <w:szCs w:val="28"/>
          <w:lang w:val="pt-BR"/>
        </w:rPr>
        <w:t>“Sơ kết Nghị quyết số 18-NQ/TW; quan điểm, định hướng sửa đổi Luật Đất đai và các luật có liên quan”</w:t>
      </w:r>
      <w:r>
        <w:rPr>
          <w:rFonts w:cs="Times New Roman" w:ascii="Times New Roman" w:hAnsi="Times New Roman"/>
          <w:iCs/>
          <w:color w:val="auto"/>
          <w:spacing w:val="-4"/>
          <w:sz w:val="28"/>
          <w:szCs w:val="28"/>
          <w:lang w:val="pt-BR"/>
        </w:rPr>
        <w:t xml:space="preserve"> đang trình Đảng ủy Chính phủ ngày 14/7/2026 xem xét để trình Ban Chấp hành Trung ương Đảng).</w:t>
      </w:r>
    </w:p>
    <w:p>
      <w:pPr>
        <w:pStyle w:val="Normal"/>
        <w:numPr>
          <w:ilvl w:val="0"/>
          <w:numId w:val="0"/>
        </w:numPr>
        <w:spacing w:lineRule="exact" w:line="350" w:before="120" w:after="120"/>
        <w:ind w:firstLine="709"/>
        <w:jc w:val="both"/>
        <w:outlineLvl w:val="1"/>
        <w:rPr>
          <w:rFonts w:ascii="Times New Roman" w:hAnsi="Times New Roman" w:cs="Times New Roman"/>
          <w:b/>
          <w:bCs/>
          <w:iCs/>
          <w:color w:val="auto"/>
          <w:sz w:val="28"/>
          <w:szCs w:val="28"/>
        </w:rPr>
      </w:pPr>
      <w:r>
        <w:rPr>
          <w:rFonts w:cs="Times New Roman" w:ascii="Times New Roman" w:hAnsi="Times New Roman"/>
          <w:b/>
          <w:bCs/>
          <w:iCs/>
          <w:color w:val="auto"/>
          <w:sz w:val="28"/>
          <w:szCs w:val="28"/>
        </w:rPr>
        <w:t>2. Tổ chức thực thi Luật sau khi ban hành</w:t>
      </w:r>
    </w:p>
    <w:p>
      <w:pPr>
        <w:pStyle w:val="Normal"/>
        <w:spacing w:lineRule="exact" w:line="350" w:before="120" w:after="120"/>
        <w:ind w:firstLine="709"/>
        <w:jc w:val="both"/>
        <w:rPr>
          <w:rFonts w:ascii="Times New Roman" w:hAnsi="Times New Roman" w:cs="Times New Roman"/>
          <w:color w:val="auto"/>
          <w:sz w:val="28"/>
          <w:szCs w:val="28"/>
          <w:lang w:val="pl-PL" w:eastAsia="en-US"/>
        </w:rPr>
      </w:pPr>
      <w:r>
        <w:rPr>
          <w:rFonts w:cs="Times New Roman" w:ascii="Times New Roman" w:hAnsi="Times New Roman"/>
          <w:color w:val="auto"/>
          <w:sz w:val="28"/>
          <w:szCs w:val="28"/>
          <w:lang w:val="pl-PL" w:eastAsia="en-US"/>
        </w:rPr>
        <w:t>Tuyên truyền, phổ biến Luật: Các bộ, cơ quan ngang bộ, cơ quan thuộc Chính phủ trong phạm vi chức năng, nhiệm vụ tổ chức phổ biến, tuyên truyền nội dung Luật và các quy định có liên quan. Bộ Tư pháp chủ trì xây dựng nội dung thông tin, tuyên truyền, phổ biến kịp thời, bảo đảm tiếp cận đầy đủ đến cơ quan, tổ chức và người dân.</w:t>
      </w:r>
    </w:p>
    <w:p>
      <w:pPr>
        <w:pStyle w:val="Normal"/>
        <w:spacing w:lineRule="exact" w:line="350" w:before="120" w:after="120"/>
        <w:ind w:firstLine="709"/>
        <w:jc w:val="both"/>
        <w:rPr>
          <w:rFonts w:ascii="Times New Roman" w:hAnsi="Times New Roman" w:cs="Times New Roman"/>
          <w:color w:val="auto"/>
          <w:sz w:val="28"/>
          <w:szCs w:val="28"/>
          <w:lang w:val="pl-PL" w:eastAsia="en-US"/>
        </w:rPr>
      </w:pPr>
      <w:r>
        <w:rPr>
          <w:rFonts w:cs="Times New Roman" w:ascii="Times New Roman" w:hAnsi="Times New Roman"/>
          <w:color w:val="auto"/>
          <w:sz w:val="28"/>
          <w:szCs w:val="28"/>
          <w:lang w:val="pl-PL" w:eastAsia="en-US"/>
        </w:rPr>
        <w:t>Bảo đảm nguồn lực thực hiện: Ngoài kinh phí ngân sách nhà nước, huy động thêm nguồn lực từ tổ chức xã hội; đồng thời lồng ghép trong các chương trình, dự án liên quan để bảo đảm kinh phí thực hiện Luật. Cùng với đó, bảo đảm hạ tầng công nghệ thông tin phù hợp, xây dựng và khai thác hiệu quả hệ thống thông tin đất đai, cơ sở dữ liệu đất đai.</w:t>
      </w:r>
    </w:p>
    <w:p>
      <w:pPr>
        <w:pStyle w:val="Normal"/>
        <w:spacing w:lineRule="exact" w:line="350" w:before="120" w:after="120"/>
        <w:ind w:firstLine="709"/>
        <w:jc w:val="both"/>
        <w:rPr>
          <w:rFonts w:ascii="Times New Roman" w:hAnsi="Times New Roman" w:cs="Times New Roman"/>
          <w:color w:val="auto"/>
          <w:sz w:val="28"/>
          <w:szCs w:val="28"/>
          <w:lang w:val="pl-PL" w:eastAsia="en-US"/>
        </w:rPr>
      </w:pPr>
      <w:r>
        <w:rPr>
          <w:rFonts w:cs="Times New Roman" w:ascii="Times New Roman" w:hAnsi="Times New Roman"/>
          <w:color w:val="auto"/>
          <w:spacing w:val="-4"/>
          <w:sz w:val="28"/>
          <w:szCs w:val="28"/>
          <w:lang w:val="pl-PL" w:eastAsia="en-US"/>
        </w:rPr>
        <w:t>Giám sát, thanh tra, kiểm tra, theo dõi thi hành Luật: Tổ chức thực hiện công tác giám sát, thanh tra, kiểm tra và theo dõi thi hành Luật cùng các văn bản quy định chi tiết và hướng dẫn thi hành, bảo đảm Luật được thực thi thống nhất, hiệu quả</w:t>
      </w:r>
      <w:r>
        <w:rPr>
          <w:rFonts w:cs="Times New Roman" w:ascii="Times New Roman" w:hAnsi="Times New Roman"/>
          <w:color w:val="auto"/>
          <w:sz w:val="28"/>
          <w:szCs w:val="28"/>
          <w:lang w:val="pl-PL" w:eastAsia="en-US"/>
        </w:rPr>
        <w:t>.</w:t>
      </w:r>
    </w:p>
    <w:p>
      <w:pPr>
        <w:pStyle w:val="Normal"/>
        <w:numPr>
          <w:ilvl w:val="0"/>
          <w:numId w:val="0"/>
        </w:numPr>
        <w:spacing w:lineRule="exact" w:line="350" w:before="120" w:after="120"/>
        <w:ind w:firstLine="709"/>
        <w:jc w:val="both"/>
        <w:outlineLvl w:val="1"/>
        <w:rPr>
          <w:rFonts w:ascii="Times New Roman" w:hAnsi="Times New Roman" w:cs="Times New Roman"/>
          <w:b/>
          <w:bCs/>
          <w:iCs/>
          <w:color w:val="auto"/>
          <w:sz w:val="28"/>
          <w:szCs w:val="28"/>
        </w:rPr>
      </w:pPr>
      <w:r>
        <w:rPr>
          <w:rFonts w:cs="Times New Roman" w:ascii="Times New Roman" w:hAnsi="Times New Roman"/>
          <w:b/>
          <w:bCs/>
          <w:iCs/>
          <w:color w:val="auto"/>
          <w:sz w:val="28"/>
          <w:szCs w:val="28"/>
        </w:rPr>
        <w:t>3. Nguồn lực triển khai Luật</w:t>
      </w:r>
    </w:p>
    <w:p>
      <w:pPr>
        <w:pStyle w:val="Normal"/>
        <w:spacing w:lineRule="exact" w:line="350" w:before="120" w:after="120"/>
        <w:ind w:firstLine="709"/>
        <w:jc w:val="both"/>
        <w:rPr>
          <w:rFonts w:ascii="Times New Roman" w:hAnsi="Times New Roman" w:cs="Times New Roman"/>
          <w:bCs/>
          <w:color w:val="auto"/>
          <w:sz w:val="28"/>
          <w:szCs w:val="28"/>
          <w:lang w:val="pl-PL" w:eastAsia="en-US"/>
        </w:rPr>
      </w:pPr>
      <w:r>
        <w:rPr>
          <w:rFonts w:cs="Times New Roman" w:ascii="Times New Roman" w:hAnsi="Times New Roman"/>
          <w:bCs/>
          <w:color w:val="auto"/>
          <w:sz w:val="28"/>
          <w:szCs w:val="28"/>
          <w:lang w:val="pl-PL" w:eastAsia="en-US"/>
        </w:rPr>
        <w:t>Sau khi Luật Đất đai (sửa đổi) được ban hành, các hoạt động triển khai chủ yếu bao gồm:</w:t>
      </w:r>
    </w:p>
    <w:p>
      <w:pPr>
        <w:pStyle w:val="Normal"/>
        <w:spacing w:lineRule="exact" w:line="350" w:before="120" w:after="120"/>
        <w:ind w:firstLine="709"/>
        <w:jc w:val="both"/>
        <w:rPr>
          <w:rFonts w:ascii="Times New Roman" w:hAnsi="Times New Roman" w:cs="Times New Roman"/>
          <w:bCs/>
          <w:color w:val="auto"/>
          <w:sz w:val="28"/>
          <w:szCs w:val="28"/>
          <w:lang w:val="pl-PL" w:eastAsia="en-US"/>
        </w:rPr>
      </w:pPr>
      <w:r>
        <w:rPr>
          <w:rFonts w:cs="Times New Roman" w:ascii="Times New Roman" w:hAnsi="Times New Roman"/>
          <w:bCs/>
          <w:color w:val="auto"/>
          <w:sz w:val="28"/>
          <w:szCs w:val="28"/>
          <w:lang w:val="pl-PL" w:eastAsia="en-US"/>
        </w:rPr>
        <w:t xml:space="preserve">- Xây dựng các văn bản quy định chi tiết và hướng dẫn thi hành Luật. </w:t>
      </w:r>
      <w:r>
        <w:rPr>
          <w:rFonts w:cs="Times New Roman" w:ascii="Times New Roman" w:hAnsi="Times New Roman"/>
          <w:bCs/>
          <w:color w:val="auto"/>
          <w:spacing w:val="-4"/>
          <w:sz w:val="28"/>
          <w:szCs w:val="28"/>
          <w:lang w:val="pl-PL" w:eastAsia="en-US"/>
        </w:rPr>
        <w:t>Xây dựng Kế hoạch triển khai thi hành Luật Đất đai (sửa đổi).</w:t>
      </w:r>
    </w:p>
    <w:p>
      <w:pPr>
        <w:pStyle w:val="Normal"/>
        <w:spacing w:lineRule="exact" w:line="350" w:before="120" w:after="120"/>
        <w:ind w:firstLine="709"/>
        <w:jc w:val="both"/>
        <w:rPr>
          <w:rFonts w:ascii="Times New Roman" w:hAnsi="Times New Roman" w:cs="Times New Roman"/>
          <w:bCs/>
          <w:color w:val="auto"/>
          <w:sz w:val="28"/>
          <w:szCs w:val="28"/>
          <w:lang w:val="pl-PL" w:eastAsia="en-US"/>
        </w:rPr>
      </w:pPr>
      <w:r>
        <w:rPr>
          <w:rFonts w:cs="Times New Roman" w:ascii="Times New Roman" w:hAnsi="Times New Roman"/>
          <w:bCs/>
          <w:color w:val="auto"/>
          <w:sz w:val="28"/>
          <w:szCs w:val="28"/>
          <w:lang w:val="pl-PL" w:eastAsia="en-US"/>
        </w:rPr>
        <w:t>- Tổ chức tuyên truyền, phổ biến Luật tại các cơ quan trung ương, địa phương và thực hiện các hoạt động cần thiết khác.</w:t>
      </w:r>
    </w:p>
    <w:p>
      <w:pPr>
        <w:pStyle w:val="Normal"/>
        <w:spacing w:lineRule="exact" w:line="350" w:before="120" w:after="120"/>
        <w:ind w:firstLine="709"/>
        <w:jc w:val="both"/>
        <w:rPr>
          <w:rFonts w:ascii="Times New Roman" w:hAnsi="Times New Roman" w:cs="Times New Roman"/>
          <w:bCs/>
          <w:color w:val="auto"/>
          <w:sz w:val="28"/>
          <w:szCs w:val="28"/>
          <w:lang w:val="pl-PL" w:eastAsia="en-US"/>
        </w:rPr>
      </w:pPr>
      <w:r>
        <w:rPr>
          <w:rFonts w:cs="Times New Roman" w:ascii="Times New Roman" w:hAnsi="Times New Roman"/>
          <w:bCs/>
          <w:color w:val="auto"/>
          <w:sz w:val="28"/>
          <w:szCs w:val="28"/>
          <w:lang w:val="pl-PL" w:eastAsia="en-US"/>
        </w:rPr>
        <w:t>- Tổ chức thực hiện các nhiệm vụ theo quy định của Luật và các văn bản hướng dẫn thi hành.</w:t>
      </w:r>
    </w:p>
    <w:p>
      <w:pPr>
        <w:pStyle w:val="Normal"/>
        <w:spacing w:lineRule="exact" w:line="350" w:before="120" w:after="120"/>
        <w:ind w:firstLine="709"/>
        <w:jc w:val="both"/>
        <w:rPr>
          <w:rFonts w:ascii="Times New Roman" w:hAnsi="Times New Roman" w:cs="Times New Roman"/>
          <w:bCs/>
          <w:color w:val="auto"/>
          <w:sz w:val="28"/>
          <w:szCs w:val="28"/>
          <w:lang w:val="pl-PL" w:eastAsia="en-US"/>
        </w:rPr>
      </w:pPr>
      <w:r>
        <w:rPr>
          <w:rFonts w:cs="Times New Roman" w:ascii="Times New Roman" w:hAnsi="Times New Roman"/>
          <w:bCs/>
          <w:color w:val="auto"/>
          <w:sz w:val="28"/>
          <w:szCs w:val="28"/>
          <w:lang w:val="pl-PL" w:eastAsia="en-US"/>
        </w:rPr>
        <w:t>Về nhân lực, các cơ quan quản lý nhà nước, tổ chức, cá nhân được giao quản lý, sử dụng đất và các chủ thể có liên quan tiếp tục thực hiện nhiệm vụ theo cơ chế hiện hành, không phát sinh thêm biên chế hoặc tổ chức mới.</w:t>
      </w:r>
    </w:p>
    <w:p>
      <w:pPr>
        <w:pStyle w:val="Normal"/>
        <w:spacing w:lineRule="exact" w:line="350" w:before="120" w:after="120"/>
        <w:ind w:firstLine="709"/>
        <w:jc w:val="both"/>
        <w:rPr>
          <w:rFonts w:ascii="Times New Roman" w:hAnsi="Times New Roman" w:cs="Times New Roman"/>
          <w:b/>
          <w:bCs/>
          <w:color w:val="auto"/>
          <w:spacing w:val="-8"/>
          <w:sz w:val="28"/>
          <w:szCs w:val="28"/>
          <w:lang w:val="pl-PL"/>
        </w:rPr>
      </w:pPr>
      <w:r>
        <w:rPr>
          <w:rFonts w:cs="Times New Roman" w:ascii="Times New Roman" w:hAnsi="Times New Roman"/>
          <w:bCs/>
          <w:color w:val="auto"/>
          <w:sz w:val="28"/>
          <w:szCs w:val="28"/>
          <w:lang w:val="pl-PL" w:eastAsia="en-US"/>
        </w:rPr>
        <w:t xml:space="preserve">Về kinh phí, việc triển khai được thực hiện chủ yếu thông qua lồng ghép trong ngân sách chi thường xuyên của các bộ, ngành và địa phương theo quy định của Luật Ngân sách nhà nước, bảo đảm phù hợp khả năng cân đối và không tạo áp lực tăng chi ngân sách nhà nước. </w:t>
      </w:r>
    </w:p>
    <w:p>
      <w:pPr>
        <w:pStyle w:val="Normal"/>
        <w:numPr>
          <w:ilvl w:val="0"/>
          <w:numId w:val="0"/>
        </w:numPr>
        <w:spacing w:lineRule="exact" w:line="340" w:before="120" w:after="120"/>
        <w:ind w:firstLine="709"/>
        <w:jc w:val="both"/>
        <w:outlineLvl w:val="0"/>
        <w:rPr>
          <w:rFonts w:ascii="Times New Roman" w:hAnsi="Times New Roman" w:cs="Times New Roman"/>
          <w:b/>
          <w:bCs/>
          <w:color w:val="auto"/>
          <w:spacing w:val="-8"/>
          <w:sz w:val="28"/>
          <w:szCs w:val="28"/>
        </w:rPr>
      </w:pPr>
      <w:r>
        <w:rPr>
          <w:rFonts w:cs="Times New Roman" w:ascii="Times New Roman" w:hAnsi="Times New Roman"/>
          <w:b/>
          <w:bCs/>
          <w:color w:val="auto"/>
          <w:spacing w:val="-8"/>
          <w:sz w:val="28"/>
          <w:szCs w:val="28"/>
          <w:lang w:val="zu-ZA"/>
        </w:rPr>
        <w:t xml:space="preserve">VIII. DỰ KIẾN </w:t>
      </w:r>
      <w:r>
        <w:rPr>
          <w:rFonts w:cs="Times New Roman" w:ascii="Times New Roman" w:hAnsi="Times New Roman"/>
          <w:b/>
          <w:bCs/>
          <w:color w:val="auto"/>
          <w:spacing w:val="-8"/>
          <w:sz w:val="28"/>
          <w:szCs w:val="28"/>
        </w:rPr>
        <w:t xml:space="preserve">THỜI GIAN TRÌNH </w:t>
      </w:r>
      <w:r>
        <w:rPr>
          <w:rFonts w:cs="Times New Roman" w:ascii="Times New Roman" w:hAnsi="Times New Roman"/>
          <w:b/>
          <w:bCs/>
          <w:color w:val="auto"/>
          <w:spacing w:val="-8"/>
          <w:sz w:val="28"/>
          <w:szCs w:val="28"/>
          <w:lang w:val="zu-ZA"/>
        </w:rPr>
        <w:t>QUỐC HỘI DỰ ÁN LUẬT ĐẤT ĐAI (SỬA ĐỔI)</w:t>
      </w:r>
    </w:p>
    <w:p>
      <w:pPr>
        <w:pStyle w:val="Normal"/>
        <w:spacing w:lineRule="exact" w:line="340" w:before="120" w:after="120"/>
        <w:ind w:firstLine="709"/>
        <w:jc w:val="both"/>
        <w:rPr>
          <w:rFonts w:ascii="Times New Roman" w:hAnsi="Times New Roman" w:cs="Times New Roman"/>
          <w:color w:val="auto"/>
          <w:sz w:val="28"/>
          <w:szCs w:val="28"/>
        </w:rPr>
      </w:pPr>
      <w:r>
        <w:rPr>
          <w:rFonts w:cs="Times New Roman" w:ascii="Times New Roman" w:hAnsi="Times New Roman"/>
          <w:color w:val="auto"/>
          <w:sz w:val="28"/>
          <w:szCs w:val="28"/>
        </w:rPr>
        <w:t>Với mục tiêu hoàn thành nhiệm vụ hoàn thiện hệ thống pháp luật về sắp xếp tổ chức bộ máy trước 01/3/2027 theo yêu cầu của Quốc hội, cắt giảm thủ tục hành chính, điều kiện đầu tư kinh doanh và giải quyết kịp thời, nhanh nhất các vướng mắc, bất cập, điểm nghẽn để sớm đảm bảo ổn định, thống nhất, đồng bộ của hệ thống pháp luật nhằm tập trung nguồn lực phục vụ nhiệm vụ sản xuất, kinh doanh, phát triển kinh tế - xã hội, Nghị quyết số 07/2026/UBTVQH16 ngày 26/6/2026 điều chỉnh Chương trình lập pháp năm 2026, đã bổ sung dự án Luật Đất đai (sửa đổi) vào Chương trình lập pháp năm 2026, trình Quốc hội xem xét tại Kỳ họp thứ 2 (tháng 10 năm 2026). Tại kỳ họp không chính thức tháng 8 năm 2026, thực hiện theo Kết luận số 98/KL-UBTVQH16 ngày 10/7/2026 của Ủy ban Thường vụ Quốc hội.</w:t>
      </w:r>
    </w:p>
    <w:p>
      <w:pPr>
        <w:pStyle w:val="Normal"/>
        <w:spacing w:lineRule="exact" w:line="340" w:before="120" w:after="120"/>
        <w:ind w:firstLine="709"/>
        <w:jc w:val="both"/>
        <w:rPr>
          <w:rFonts w:ascii="Times New Roman" w:hAnsi="Times New Roman" w:cs="Times New Roman"/>
          <w:color w:val="auto"/>
          <w:sz w:val="28"/>
          <w:szCs w:val="28"/>
          <w:lang w:val="zu-ZA"/>
        </w:rPr>
      </w:pPr>
      <w:r>
        <w:rPr>
          <w:rFonts w:cs="Times New Roman" w:ascii="Times New Roman" w:hAnsi="Times New Roman"/>
          <w:color w:val="auto"/>
          <w:sz w:val="28"/>
          <w:szCs w:val="28"/>
          <w:lang w:val="zu-ZA"/>
        </w:rPr>
        <w:t>Trên đây là Tờ trình chính sách của dự án Luật Đất đai (sửa đổi), Bộ Nông nghiệp và Môi trường xin kính trình Chính phủ xem xét, quyết định.</w:t>
      </w:r>
    </w:p>
    <w:p>
      <w:pPr>
        <w:pStyle w:val="Normal"/>
        <w:spacing w:before="120" w:after="0"/>
        <w:ind w:firstLine="709"/>
        <w:jc w:val="both"/>
        <w:rPr>
          <w:rFonts w:ascii="Times New Roman" w:hAnsi="Times New Roman" w:cs="Times New Roman"/>
          <w:i/>
          <w:iCs/>
          <w:color w:val="auto"/>
          <w:sz w:val="28"/>
          <w:szCs w:val="28"/>
          <w:lang w:val="zu-ZA"/>
        </w:rPr>
      </w:pPr>
      <w:r>
        <w:rPr>
          <w:rFonts w:cs="Times New Roman" w:ascii="Times New Roman" w:hAnsi="Times New Roman"/>
          <w:i/>
          <w:iCs/>
          <w:color w:val="auto"/>
          <w:sz w:val="28"/>
          <w:szCs w:val="28"/>
          <w:lang w:val="zu-ZA"/>
        </w:rPr>
        <w:t>(Xin gửi kèm theo: (1) Báo cáo đánh giá tác động của chính sách; (2) Báo cáo rà soát các chủ trương, đường lối của Đảng, văn bản quy phạm pháp luật, điều ước quốc tế có liên quan đến chính sách; (3) Báo cáo tổng kết việc thi hành pháp luật; (5) Bản thuyết minh quy phạm hóa chính sách; (6) Bản tổng hợp ý kiến tiếp thu, giải trình ý kiến góp ý, tham vấn chính sách)./.</w:t>
      </w:r>
    </w:p>
    <w:p>
      <w:pPr>
        <w:pStyle w:val="Normal"/>
        <w:rPr>
          <w:rFonts w:ascii="Times New Roman" w:hAnsi="Times New Roman" w:cs="Times New Roman"/>
          <w:color w:val="auto"/>
          <w:sz w:val="28"/>
          <w:szCs w:val="28"/>
        </w:rPr>
      </w:pPr>
      <w:r>
        <w:rPr>
          <w:rFonts w:cs="Times New Roman" w:ascii="Times New Roman" w:hAnsi="Times New Roman"/>
          <w:color w:val="auto"/>
          <w:sz w:val="28"/>
          <w:szCs w:val="28"/>
        </w:rPr>
      </w:r>
    </w:p>
    <w:tbl>
      <w:tblPr>
        <w:tblW w:w="5000" w:type="pct"/>
        <w:jc w:val="center"/>
        <w:tblInd w:w="0" w:type="dxa"/>
        <w:tblLayout w:type="fixed"/>
        <w:tblCellMar>
          <w:top w:w="0" w:type="dxa"/>
          <w:left w:w="108" w:type="dxa"/>
          <w:bottom w:w="0" w:type="dxa"/>
          <w:right w:w="108" w:type="dxa"/>
        </w:tblCellMar>
        <w:tblLook w:val="04a0" w:firstRow="1" w:noVBand="1" w:lastRow="0" w:firstColumn="1" w:lastColumn="0" w:noHBand="0"/>
      </w:tblPr>
      <w:tblGrid>
        <w:gridCol w:w="4669"/>
        <w:gridCol w:w="4402"/>
      </w:tblGrid>
      <w:tr>
        <w:trPr/>
        <w:tc>
          <w:tcPr>
            <w:tcW w:w="4669" w:type="dxa"/>
            <w:tcBorders/>
          </w:tcPr>
          <w:p>
            <w:pPr>
              <w:pStyle w:val="Normal"/>
              <w:rPr>
                <w:rFonts w:ascii="Times New Roman" w:hAnsi="Times New Roman" w:cs="Times New Roman"/>
                <w:iCs/>
                <w:color w:val="auto"/>
                <w:sz w:val="22"/>
                <w:szCs w:val="22"/>
              </w:rPr>
            </w:pPr>
            <w:r>
              <w:rPr>
                <w:rFonts w:cs="Times New Roman" w:ascii="Times New Roman" w:hAnsi="Times New Roman"/>
                <w:b/>
                <w:i/>
                <w:iCs/>
                <w:color w:val="auto"/>
              </w:rPr>
              <w:t>Nơi nhận:</w:t>
            </w:r>
            <w:r>
              <w:rPr>
                <w:rFonts w:cs="Times New Roman" w:ascii="Times New Roman" w:hAnsi="Times New Roman"/>
                <w:b/>
                <w:i/>
                <w:iCs/>
                <w:color w:val="auto"/>
                <w:sz w:val="28"/>
                <w:szCs w:val="28"/>
              </w:rPr>
              <w:br/>
            </w:r>
            <w:r>
              <w:rPr>
                <w:rFonts w:cs="Times New Roman" w:ascii="Times New Roman" w:hAnsi="Times New Roman"/>
                <w:iCs/>
                <w:color w:val="auto"/>
                <w:sz w:val="22"/>
                <w:szCs w:val="22"/>
              </w:rPr>
              <w:t>- Như trên;</w:t>
            </w:r>
          </w:p>
          <w:p>
            <w:pPr>
              <w:pStyle w:val="Normal"/>
              <w:rPr>
                <w:rFonts w:ascii="Times New Roman" w:hAnsi="Times New Roman" w:cs="Times New Roman"/>
                <w:iCs/>
                <w:color w:val="auto"/>
                <w:sz w:val="22"/>
                <w:szCs w:val="22"/>
              </w:rPr>
            </w:pPr>
            <w:r>
              <w:rPr>
                <w:rFonts w:cs="Times New Roman" w:ascii="Times New Roman" w:hAnsi="Times New Roman"/>
                <w:iCs/>
                <w:color w:val="auto"/>
                <w:sz w:val="22"/>
                <w:szCs w:val="22"/>
              </w:rPr>
              <w:t>- Thủ tướng Chính phủ (để b/c);</w:t>
            </w:r>
          </w:p>
          <w:p>
            <w:pPr>
              <w:pStyle w:val="Normal"/>
              <w:rPr>
                <w:rFonts w:ascii="Times New Roman" w:hAnsi="Times New Roman" w:cs="Times New Roman"/>
                <w:iCs/>
                <w:color w:val="auto"/>
                <w:sz w:val="22"/>
                <w:szCs w:val="22"/>
              </w:rPr>
            </w:pPr>
            <w:r>
              <w:rPr>
                <w:rFonts w:cs="Times New Roman" w:ascii="Times New Roman" w:hAnsi="Times New Roman"/>
                <w:iCs/>
                <w:color w:val="auto"/>
                <w:sz w:val="22"/>
                <w:szCs w:val="22"/>
              </w:rPr>
              <w:t>- Các Phó Thủ tướng Chính phủ (để b/c);</w:t>
            </w:r>
          </w:p>
          <w:p>
            <w:pPr>
              <w:pStyle w:val="Normal"/>
              <w:rPr>
                <w:rFonts w:ascii="Times New Roman" w:hAnsi="Times New Roman" w:cs="Times New Roman"/>
                <w:iCs/>
                <w:color w:val="auto"/>
                <w:sz w:val="22"/>
                <w:szCs w:val="22"/>
              </w:rPr>
            </w:pPr>
            <w:r>
              <w:rPr>
                <w:rFonts w:cs="Times New Roman" w:ascii="Times New Roman" w:hAnsi="Times New Roman"/>
                <w:iCs/>
                <w:color w:val="auto"/>
                <w:sz w:val="22"/>
                <w:szCs w:val="22"/>
              </w:rPr>
              <w:t xml:space="preserve">- Các Ủy ban: Kinh tế và Tài chính, </w:t>
            </w:r>
          </w:p>
          <w:p>
            <w:pPr>
              <w:pStyle w:val="Normal"/>
              <w:rPr>
                <w:rFonts w:ascii="Times New Roman" w:hAnsi="Times New Roman" w:cs="Times New Roman"/>
                <w:iCs/>
                <w:color w:val="auto"/>
                <w:sz w:val="22"/>
                <w:szCs w:val="22"/>
              </w:rPr>
            </w:pPr>
            <w:r>
              <w:rPr>
                <w:rFonts w:cs="Times New Roman" w:ascii="Times New Roman" w:hAnsi="Times New Roman"/>
                <w:iCs/>
                <w:color w:val="auto"/>
                <w:sz w:val="22"/>
                <w:szCs w:val="22"/>
              </w:rPr>
              <w:t>Pháp luật và Tư pháp;</w:t>
            </w:r>
          </w:p>
          <w:p>
            <w:pPr>
              <w:pStyle w:val="Normal"/>
              <w:rPr>
                <w:rFonts w:ascii="Times New Roman" w:hAnsi="Times New Roman" w:cs="Times New Roman"/>
                <w:iCs/>
                <w:color w:val="auto"/>
                <w:sz w:val="22"/>
                <w:szCs w:val="22"/>
              </w:rPr>
            </w:pPr>
            <w:r>
              <w:rPr>
                <w:rFonts w:cs="Times New Roman" w:ascii="Times New Roman" w:hAnsi="Times New Roman"/>
                <w:iCs/>
                <w:color w:val="auto"/>
                <w:sz w:val="22"/>
                <w:szCs w:val="22"/>
              </w:rPr>
              <w:t>- Văn phòng Quốc hội;</w:t>
            </w:r>
          </w:p>
          <w:p>
            <w:pPr>
              <w:pStyle w:val="Normal"/>
              <w:rPr>
                <w:rFonts w:ascii="Times New Roman" w:hAnsi="Times New Roman" w:cs="Times New Roman"/>
                <w:iCs/>
                <w:color w:val="auto"/>
                <w:sz w:val="22"/>
                <w:szCs w:val="22"/>
              </w:rPr>
            </w:pPr>
            <w:r>
              <w:rPr>
                <w:rFonts w:cs="Times New Roman" w:ascii="Times New Roman" w:hAnsi="Times New Roman"/>
                <w:iCs/>
                <w:color w:val="auto"/>
                <w:sz w:val="22"/>
                <w:szCs w:val="22"/>
              </w:rPr>
              <w:t>- Văn phòng Chính phủ;</w:t>
            </w:r>
          </w:p>
          <w:p>
            <w:pPr>
              <w:pStyle w:val="Normal"/>
              <w:rPr>
                <w:rFonts w:ascii="Times New Roman" w:hAnsi="Times New Roman" w:cs="Times New Roman"/>
                <w:iCs/>
                <w:color w:val="auto"/>
                <w:sz w:val="22"/>
                <w:szCs w:val="22"/>
              </w:rPr>
            </w:pPr>
            <w:r>
              <w:rPr>
                <w:rFonts w:cs="Times New Roman" w:ascii="Times New Roman" w:hAnsi="Times New Roman"/>
                <w:iCs/>
                <w:color w:val="auto"/>
                <w:sz w:val="22"/>
                <w:szCs w:val="22"/>
              </w:rPr>
              <w:t>- Bộ Tư pháp;</w:t>
            </w:r>
          </w:p>
          <w:p>
            <w:pPr>
              <w:pStyle w:val="Normal"/>
              <w:rPr>
                <w:rFonts w:ascii="Times New Roman" w:hAnsi="Times New Roman" w:cs="Times New Roman"/>
                <w:iCs/>
                <w:color w:val="auto"/>
                <w:sz w:val="22"/>
                <w:szCs w:val="22"/>
              </w:rPr>
            </w:pPr>
            <w:r>
              <w:rPr>
                <w:rFonts w:cs="Times New Roman" w:ascii="Times New Roman" w:hAnsi="Times New Roman"/>
                <w:iCs/>
                <w:color w:val="auto"/>
                <w:sz w:val="22"/>
                <w:szCs w:val="22"/>
              </w:rPr>
              <w:t>- TANDTC, VKSNDTC;</w:t>
            </w:r>
          </w:p>
          <w:p>
            <w:pPr>
              <w:pStyle w:val="Normal"/>
              <w:rPr>
                <w:rFonts w:ascii="Times New Roman" w:hAnsi="Times New Roman" w:cs="Times New Roman"/>
                <w:iCs/>
                <w:color w:val="auto"/>
                <w:sz w:val="22"/>
                <w:szCs w:val="22"/>
              </w:rPr>
            </w:pPr>
            <w:r>
              <w:rPr>
                <w:rFonts w:cs="Times New Roman" w:ascii="Times New Roman" w:hAnsi="Times New Roman"/>
                <w:iCs/>
                <w:color w:val="auto"/>
                <w:sz w:val="22"/>
                <w:szCs w:val="22"/>
              </w:rPr>
              <w:t>- TT Nguyễn Thị Phương Hoa;</w:t>
            </w:r>
          </w:p>
          <w:p>
            <w:pPr>
              <w:pStyle w:val="Normal"/>
              <w:rPr>
                <w:rFonts w:ascii="Times New Roman" w:hAnsi="Times New Roman" w:cs="Times New Roman"/>
                <w:iCs/>
                <w:color w:val="auto"/>
                <w:sz w:val="22"/>
                <w:szCs w:val="22"/>
              </w:rPr>
            </w:pPr>
            <w:r>
              <w:rPr>
                <w:rFonts w:cs="Times New Roman" w:ascii="Times New Roman" w:hAnsi="Times New Roman"/>
                <w:iCs/>
                <w:color w:val="auto"/>
                <w:sz w:val="22"/>
                <w:szCs w:val="22"/>
              </w:rPr>
              <w:t>- TT Đặng Ngọc Điệp;</w:t>
            </w:r>
          </w:p>
          <w:p>
            <w:pPr>
              <w:pStyle w:val="Normal"/>
              <w:rPr>
                <w:rFonts w:ascii="Times New Roman" w:hAnsi="Times New Roman" w:cs="Times New Roman"/>
                <w:b/>
                <w:bCs/>
                <w:color w:val="auto"/>
                <w:sz w:val="28"/>
                <w:szCs w:val="28"/>
              </w:rPr>
            </w:pPr>
            <w:r>
              <w:rPr>
                <w:rFonts w:cs="Times New Roman" w:ascii="Times New Roman" w:hAnsi="Times New Roman"/>
                <w:iCs/>
                <w:color w:val="auto"/>
                <w:sz w:val="22"/>
                <w:szCs w:val="22"/>
              </w:rPr>
              <w:t>- Lưu: VT, VP (TH), PC, QLĐĐ.</w:t>
            </w:r>
          </w:p>
        </w:tc>
        <w:tc>
          <w:tcPr>
            <w:tcW w:w="4402" w:type="dxa"/>
            <w:tcBorders/>
          </w:tcPr>
          <w:p>
            <w:pPr>
              <w:pStyle w:val="Normal"/>
              <w:spacing w:before="120" w:after="0"/>
              <w:jc w:val="center"/>
              <w:rPr>
                <w:rFonts w:ascii="Times New Roman" w:hAnsi="Times New Roman" w:cs="Times New Roman"/>
                <w:i/>
                <w:iCs/>
                <w:color w:val="auto"/>
                <w:sz w:val="28"/>
                <w:szCs w:val="28"/>
              </w:rPr>
            </w:pPr>
            <w:r>
              <w:rPr>
                <w:rFonts w:cs="Times New Roman" w:ascii="Times New Roman" w:hAnsi="Times New Roman"/>
                <w:b/>
                <w:bCs/>
                <w:color w:val="auto"/>
                <w:sz w:val="28"/>
                <w:szCs w:val="28"/>
              </w:rPr>
              <w:t>BỘ TRƯỞNG</w:t>
              <w:br/>
            </w:r>
          </w:p>
          <w:p>
            <w:pPr>
              <w:pStyle w:val="Normal"/>
              <w:spacing w:before="120" w:after="0"/>
              <w:jc w:val="center"/>
              <w:rPr>
                <w:rFonts w:ascii="Times New Roman" w:hAnsi="Times New Roman" w:cs="Times New Roman"/>
                <w:i/>
                <w:iCs/>
                <w:color w:val="auto"/>
                <w:sz w:val="28"/>
                <w:szCs w:val="28"/>
              </w:rPr>
            </w:pPr>
            <w:r>
              <w:rPr>
                <w:rFonts w:cs="Times New Roman" w:ascii="Times New Roman" w:hAnsi="Times New Roman"/>
                <w:i/>
                <w:iCs/>
                <w:color w:val="auto"/>
                <w:sz w:val="28"/>
                <w:szCs w:val="28"/>
              </w:rPr>
              <w:br/>
              <w:br/>
            </w:r>
          </w:p>
          <w:p>
            <w:pPr>
              <w:pStyle w:val="Normal"/>
              <w:spacing w:before="120" w:after="0"/>
              <w:jc w:val="center"/>
              <w:rPr>
                <w:rFonts w:ascii="Times New Roman" w:hAnsi="Times New Roman" w:cs="Times New Roman"/>
                <w:b/>
                <w:bCs/>
                <w:color w:val="auto"/>
                <w:sz w:val="28"/>
                <w:szCs w:val="28"/>
              </w:rPr>
            </w:pPr>
            <w:r>
              <w:rPr>
                <w:rFonts w:cs="Times New Roman" w:ascii="Times New Roman" w:hAnsi="Times New Roman"/>
                <w:i/>
                <w:iCs/>
                <w:color w:val="auto"/>
                <w:sz w:val="28"/>
                <w:szCs w:val="28"/>
              </w:rPr>
              <w:br/>
              <w:br/>
            </w:r>
            <w:r>
              <w:rPr>
                <w:rFonts w:cs="Times New Roman" w:ascii="Times New Roman" w:hAnsi="Times New Roman"/>
                <w:b/>
                <w:bCs/>
                <w:color w:val="auto"/>
                <w:sz w:val="28"/>
                <w:szCs w:val="28"/>
              </w:rPr>
              <w:t>Trịnh Việt Hùng</w:t>
            </w:r>
          </w:p>
        </w:tc>
      </w:tr>
    </w:tbl>
    <w:p>
      <w:pPr>
        <w:pStyle w:val="Normal"/>
        <w:ind w:firstLine="709"/>
        <w:jc w:val="both"/>
        <w:rPr>
          <w:rFonts w:ascii="Times New Roman" w:hAnsi="Times New Roman" w:cs="Times New Roman"/>
          <w:color w:val="auto"/>
          <w:sz w:val="28"/>
          <w:szCs w:val="28"/>
        </w:rPr>
      </w:pPr>
      <w:r>
        <w:rPr>
          <w:rFonts w:cs="Times New Roman" w:ascii="Times New Roman" w:hAnsi="Times New Roman"/>
          <w:color w:val="auto"/>
          <w:sz w:val="28"/>
          <w:szCs w:val="28"/>
        </w:rPr>
      </w:r>
    </w:p>
    <w:sectPr>
      <w:headerReference w:type="even" r:id="rId2"/>
      <w:headerReference w:type="default" r:id="rId3"/>
      <w:headerReference w:type="first" r:id="rId4"/>
      <w:footnotePr>
        <w:numFmt w:val="decimal"/>
      </w:footnotePr>
      <w:type w:val="nextPage"/>
      <w:pgSz w:w="11906" w:h="16838"/>
      <w:pgMar w:left="1701" w:right="1134" w:gutter="0" w:header="720" w:top="1134" w:footer="0" w:bottom="1134"/>
      <w:pgNumType w:fmt="decimal"/>
      <w:formProt w:val="false"/>
      <w:titlePg/>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ourier New">
    <w:charset w:val="00"/>
    <w:family w:val="roman"/>
    <w:pitch w:val="variable"/>
  </w:font>
  <w:font w:name="Aptos Display">
    <w:charset w:val="00"/>
    <w:family w:val="roman"/>
    <w:pitch w:val="variable"/>
  </w:font>
  <w:font w:name="Aptos">
    <w:charset w:val="00"/>
    <w:family w:val="roman"/>
    <w:pitch w:val="variable"/>
  </w:font>
  <w:font w:name="Tahoma">
    <w:charset w:val="00"/>
    <w:family w:val="swiss"/>
    <w:pitch w:val="variable"/>
  </w:font>
  <w:font w:name="Liberation Sans">
    <w:altName w:val="Arial"/>
    <w:charset w:val="00"/>
    <w:family w:val="swiss"/>
    <w:pitch w:val="variable"/>
  </w:font>
  <w:font w:name="Calibri">
    <w:charset w:val="00"/>
    <w:family w:val="swiss"/>
    <w:pitch w:val="variable"/>
  </w:font>
</w:fonts>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r>
        <w:separator/>
      </w:r>
    </w:p>
  </w:footnote>
  <w:footnote w:id="1" w:type="continuationSeparator">
    <w:p>
      <w:r>
        <w:continuationSeparator/>
      </w:r>
    </w:p>
  </w:footnote>
  <w:footnote w:id="2">
    <w:p>
      <w:pPr>
        <w:pStyle w:val="FootnoteText"/>
        <w:ind w:firstLine="142"/>
        <w:jc w:val="both"/>
        <w:rPr>
          <w:sz w:val="18"/>
          <w:szCs w:val="18"/>
        </w:rPr>
      </w:pPr>
      <w:r>
        <w:rPr>
          <w:rStyle w:val="FootnoteCharacters"/>
        </w:rPr>
        <w:footnoteRef/>
      </w:r>
      <w:r>
        <w:rPr>
          <w:sz w:val="18"/>
          <w:szCs w:val="18"/>
        </w:rPr>
        <w:t xml:space="preserve"> </w:t>
      </w:r>
      <w:r>
        <w:rPr>
          <w:i/>
          <w:sz w:val="18"/>
          <w:szCs w:val="18"/>
        </w:rPr>
        <w:t>(i) “Tiếp tục rà soát, hoàn thiện hệ thống pháp luật về thuế, phí, lệ phí; có chính sách tạo nguồn thu và nuôi dưỡng nguồn thu; chủ động nghiên cứu và xây dựng lộ trình phù hợp để triển khai các loại thuế mới, bảo đảm bao quát các nguồn thu, mở rộng cơ sở thuế, nâng cao tính công khai, minh bạch, phù hợp thông lệ quốc tế. Chú trọng các nguồn thu từ đất đai, tài nguyên, khoáng sản, thương mại điện tử, kinh doanh trên nền tảng số”; (ii) “Bảo đảm vai trò chủ đạo của ngân sách trung ương, tăng tính chủ động của ngân sách địa phương. Đối với chính sách đặc thù tài chính - ngân sách nhà nước của địa phương, tập trung khai thác các nguồn thu mới; không ban hành các cơ chế, chính sách, quy định đặc thù về miễn, giảm, ưu đãi thuế cao hơn quy định của pháp luật về thuế, pháp luật khác về thu ngân sách nhà nước. Không quy định phân cấp nguồn thu ngân sách nhà nước, để lại nguồn thu ngân sách trung ương khác với quy định của Luật Ngân sách nhà nước, Kết luận số 93-KL/TW ngày 26 tháng 8 năm 2024 của Bộ Chính trị về tiếp tục đổi mới cơ chế phân cấp quản lý, phân bổ ngân sách nhà nước để bảo đảm vai trò chủ đạo của ngân sách trung ương và chủ động của ngân sách địa phương, cơ quan, đơn vị có liên quan, trừ trường hợp theo chủ trương của cấp có thẩm quyền.”.</w:t>
      </w:r>
    </w:p>
  </w:footnote>
  <w:footnote w:id="3">
    <w:p>
      <w:pPr>
        <w:pStyle w:val="FootnoteText"/>
        <w:ind w:firstLine="142"/>
        <w:rPr/>
      </w:pPr>
      <w:r>
        <w:rPr>
          <w:rStyle w:val="FootnoteCharacters"/>
        </w:rPr>
        <w:footnoteRef/>
      </w:r>
      <w:r>
        <w:rPr/>
        <w:t xml:space="preserve"> </w:t>
      </w:r>
      <w:r>
        <w:rPr/>
        <w:t>Ngày 14/7/2026, Văn phòng Trung ương Đảng đã có Công văn 3724-CV/VPTW đồng ý sử dụng hồ sơ Đề án theo chế độ thông thường (không Mật).</w:t>
      </w:r>
    </w:p>
  </w:footnote>
  <w:footnote w:id="4">
    <w:p>
      <w:pPr>
        <w:pStyle w:val="FootnoteText"/>
        <w:ind w:firstLine="142"/>
        <w:jc w:val="both"/>
        <w:rPr>
          <w:sz w:val="18"/>
          <w:szCs w:val="18"/>
        </w:rPr>
      </w:pPr>
      <w:r>
        <w:rPr>
          <w:rStyle w:val="FootnoteCharacters"/>
        </w:rPr>
        <w:footnoteRef/>
      </w:r>
      <w:r>
        <w:rPr>
          <w:sz w:val="18"/>
          <w:szCs w:val="18"/>
        </w:rPr>
        <w:t xml:space="preserve"> </w:t>
      </w:r>
      <w:r>
        <w:rPr>
          <w:sz w:val="18"/>
          <w:szCs w:val="18"/>
        </w:rPr>
        <w:t>Chính phủ đã có các Báo cáo số 54/BC-CP ngày 26/02/2026 và số 145/BC-CP ngày 02/4/2026.</w:t>
      </w:r>
    </w:p>
  </w:footnote>
  <w:footnote w:id="5">
    <w:p>
      <w:pPr>
        <w:pStyle w:val="Normal"/>
        <w:tabs>
          <w:tab w:val="clear" w:pos="720"/>
          <w:tab w:val="left" w:pos="0" w:leader="none"/>
          <w:tab w:val="left" w:pos="1995" w:leader="none"/>
          <w:tab w:val="left" w:pos="2280" w:leader="none"/>
        </w:tabs>
        <w:ind w:firstLine="142"/>
        <w:jc w:val="both"/>
        <w:rPr>
          <w:rFonts w:ascii="Times New Roman" w:hAnsi="Times New Roman" w:cs="Times New Roman"/>
          <w:color w:val="auto"/>
          <w:sz w:val="18"/>
          <w:szCs w:val="18"/>
        </w:rPr>
      </w:pPr>
      <w:r>
        <w:rPr>
          <w:rStyle w:val="FootnoteCharacters"/>
        </w:rPr>
        <w:footnoteRef/>
      </w:r>
      <w:r>
        <w:rPr>
          <w:rFonts w:cs="Times New Roman" w:ascii="Times New Roman" w:hAnsi="Times New Roman"/>
          <w:color w:val="auto"/>
          <w:sz w:val="18"/>
          <w:szCs w:val="18"/>
        </w:rPr>
        <w:t xml:space="preserve"> </w:t>
      </w:r>
      <w:r>
        <w:rPr>
          <w:rFonts w:cs="Times New Roman" w:ascii="Times New Roman" w:hAnsi="Times New Roman"/>
          <w:color w:val="auto"/>
          <w:kern w:val="2"/>
          <w:sz w:val="18"/>
          <w:szCs w:val="18"/>
          <w:lang w:val="pl-PL" w:eastAsia="x-none"/>
        </w:rPr>
        <w:t>12 luật số: 43/2024/QH15, 47/2024/QH15, 58/2024/QH15, 71/2025/QH15, 84/2025/QH15, 93/2025/QH15, 95/2025/QH15, 116/2025/QH15, 130/2025/QH15, 142/2025/QH15, 146/2025/QH15 và 147/2025/QH15.</w:t>
      </w:r>
    </w:p>
  </w:footnote>
  <w:footnote w:id="6">
    <w:p>
      <w:pPr>
        <w:pStyle w:val="FootnoteText"/>
        <w:widowControl w:val="false"/>
        <w:ind w:firstLine="142"/>
        <w:jc w:val="both"/>
        <w:rPr>
          <w:sz w:val="18"/>
          <w:szCs w:val="18"/>
          <w:lang w:val="vi-VN"/>
        </w:rPr>
      </w:pPr>
      <w:r>
        <w:rPr>
          <w:rStyle w:val="FootnoteCharacters"/>
        </w:rPr>
        <w:footnoteRef/>
      </w:r>
      <w:r>
        <w:rPr>
          <w:sz w:val="18"/>
          <w:szCs w:val="18"/>
          <w:lang w:val="vi-VN"/>
        </w:rPr>
        <w:t xml:space="preserve"> </w:t>
      </w:r>
      <w:r>
        <w:rPr>
          <w:sz w:val="18"/>
          <w:szCs w:val="18"/>
          <w:lang w:val="vi-VN"/>
        </w:rPr>
        <w:t xml:space="preserve">Gồm các </w:t>
      </w:r>
      <w:r>
        <w:rPr>
          <w:iCs/>
          <w:kern w:val="2"/>
          <w:sz w:val="18"/>
          <w:szCs w:val="18"/>
          <w:lang w:val="pl-PL" w:eastAsia="x-none"/>
        </w:rPr>
        <w:t>nghị quyết: số 248/2025/QH15 và 261/2025/QH15.</w:t>
      </w:r>
    </w:p>
  </w:footnote>
  <w:footnote w:id="7">
    <w:p>
      <w:pPr>
        <w:pStyle w:val="FootnoteText"/>
        <w:ind w:firstLine="142"/>
        <w:jc w:val="both"/>
        <w:rPr>
          <w:sz w:val="18"/>
          <w:szCs w:val="18"/>
          <w:lang w:val="vi-VN"/>
        </w:rPr>
      </w:pPr>
      <w:r>
        <w:rPr>
          <w:rStyle w:val="FootnoteCharacters"/>
        </w:rPr>
        <w:footnoteRef/>
      </w:r>
      <w:r>
        <w:rPr>
          <w:sz w:val="18"/>
          <w:szCs w:val="18"/>
          <w:lang w:val="vi-VN"/>
        </w:rPr>
        <w:t xml:space="preserve"> </w:t>
      </w:r>
      <w:r>
        <w:rPr>
          <w:sz w:val="18"/>
          <w:szCs w:val="18"/>
          <w:lang w:val="vi-VN"/>
        </w:rPr>
        <w:t>Gồm các nghị quyết: số 226/2025/QH15, số 258/2025/QH15, số 259/2025/QH15 và số 260/2025/QH15</w:t>
      </w:r>
    </w:p>
  </w:footnote>
  <w:footnote w:id="8">
    <w:p>
      <w:pPr>
        <w:pStyle w:val="FootnoteText"/>
        <w:ind w:firstLine="142"/>
        <w:jc w:val="both"/>
        <w:rPr>
          <w:lang w:val="vi-VN"/>
        </w:rPr>
      </w:pPr>
      <w:r>
        <w:rPr>
          <w:rStyle w:val="FootnoteCharacters"/>
        </w:rPr>
        <w:footnoteRef/>
      </w:r>
      <w:r>
        <w:rPr>
          <w:lang w:val="vi-VN"/>
        </w:rPr>
        <w:t xml:space="preserve"> </w:t>
      </w:r>
      <w:r>
        <w:rPr>
          <w:lang w:val="vi-VN"/>
        </w:rPr>
        <w:t xml:space="preserve">Được đánh giá song song với </w:t>
      </w:r>
      <w:r>
        <w:rPr>
          <w:iCs/>
          <w:spacing w:val="-4"/>
          <w:lang w:val="pt-BR"/>
        </w:rPr>
        <w:t xml:space="preserve">sơ kết sau 04 năm thực hiện </w:t>
      </w:r>
      <w:r>
        <w:rPr>
          <w:spacing w:val="-4"/>
          <w:lang w:val="pt-BR"/>
        </w:rPr>
        <w:t>Nghị quyết số 18-NQ/TW.</w:t>
      </w:r>
    </w:p>
  </w:footnote>
  <w:footnote w:id="9">
    <w:p>
      <w:pPr>
        <w:pStyle w:val="Normal"/>
        <w:ind w:firstLine="142"/>
        <w:jc w:val="both"/>
        <w:rPr>
          <w:color w:val="auto"/>
          <w:sz w:val="18"/>
          <w:szCs w:val="18"/>
        </w:rPr>
      </w:pPr>
      <w:r>
        <w:rPr>
          <w:rStyle w:val="FootnoteCharacters"/>
        </w:rPr>
        <w:footnoteRef/>
      </w:r>
      <w:r>
        <w:rPr>
          <w:rFonts w:cs="Times New Roman" w:ascii="Times New Roman" w:hAnsi="Times New Roman"/>
          <w:color w:val="auto"/>
          <w:sz w:val="18"/>
          <w:szCs w:val="18"/>
          <w:lang w:val="pl-PL"/>
        </w:rPr>
        <w:t xml:space="preserve"> </w:t>
      </w:r>
      <w:r>
        <w:rPr>
          <w:rFonts w:cs="Times New Roman" w:ascii="Times New Roman" w:hAnsi="Times New Roman"/>
          <w:color w:val="auto"/>
          <w:sz w:val="18"/>
          <w:szCs w:val="18"/>
          <w:lang w:val="pl-PL"/>
        </w:rPr>
        <w:t xml:space="preserve">Nghị quyết số 171/2024/QH15  ngày 30/11/2024 thí điểm thực hiện dự án nhà ở thương mại thông qua thỏa thuận về nhận quyền sử dụng đất hoặc đang có quyền sử dụng đất; số 98/2025/QH15 ngày 17/5/2025 </w:t>
      </w:r>
      <w:r>
        <w:rPr>
          <w:rFonts w:cs="Times New Roman" w:ascii="Times New Roman" w:hAnsi="Times New Roman"/>
          <w:color w:val="auto"/>
          <w:sz w:val="18"/>
          <w:szCs w:val="18"/>
          <w:shd w:fill="FFFFFF" w:val="clear"/>
        </w:rPr>
        <w:t>quy định một số cơ chế, chính sách đặc biệt phát triển kinh tế tư nhân..</w:t>
      </w:r>
      <w:r>
        <w:rPr>
          <w:rFonts w:cs="Times New Roman" w:ascii="Times New Roman" w:hAnsi="Times New Roman"/>
          <w:color w:val="auto"/>
          <w:sz w:val="18"/>
          <w:szCs w:val="18"/>
          <w:lang w:val="pl-PL"/>
        </w:rPr>
        <w:t>.</w:t>
      </w:r>
    </w:p>
  </w:footnote>
  <w:footnote w:id="10">
    <w:p>
      <w:pPr>
        <w:pStyle w:val="FootnoteText"/>
        <w:ind w:firstLine="142"/>
        <w:jc w:val="both"/>
        <w:rPr>
          <w:sz w:val="18"/>
          <w:szCs w:val="18"/>
          <w:lang w:val="vi-VN"/>
        </w:rPr>
      </w:pPr>
      <w:r>
        <w:rPr>
          <w:rStyle w:val="FootnoteCharacters"/>
        </w:rPr>
        <w:footnoteRef/>
      </w:r>
      <w:r>
        <w:rPr>
          <w:sz w:val="18"/>
          <w:szCs w:val="18"/>
          <w:lang w:val="vi-VN"/>
        </w:rPr>
        <w:t xml:space="preserve"> </w:t>
      </w:r>
      <w:r>
        <w:rPr>
          <w:sz w:val="18"/>
          <w:szCs w:val="18"/>
          <w:lang w:val="vi-VN"/>
        </w:rPr>
        <w:t>Hồ sơ sơ kết Nghị quyết số 18-NQ/TW ngày 16/6/2022 đang được Đảng ủy Bộ Nông nghiệp và Môi trường trình Đảng ủy Chính phủ ngày 14/7/2026 xem xét để trình Ban Chấp hành Trung ương Đảng</w:t>
      </w:r>
    </w:p>
  </w:footnote>
  <w:footnote w:id="11">
    <w:p>
      <w:pPr>
        <w:pStyle w:val="FootnoteText"/>
        <w:ind w:firstLine="142"/>
        <w:jc w:val="both"/>
        <w:rPr>
          <w:lang w:val="vi-VN"/>
        </w:rPr>
      </w:pPr>
      <w:r>
        <w:rPr>
          <w:rStyle w:val="FootnoteCharacters"/>
        </w:rPr>
        <w:footnoteRef/>
      </w:r>
      <w:r>
        <w:rPr>
          <w:lang w:val="vi-VN"/>
        </w:rPr>
        <w:t xml:space="preserve"> </w:t>
      </w:r>
      <w:r>
        <w:rPr>
          <w:lang w:val="vi-VN"/>
        </w:rPr>
        <w:t xml:space="preserve">Cập nhật nội dung Dự thảo Chương trình hành động của Bộ Chính trị triển khai Nghị quyết mới theo hồ sơ </w:t>
      </w:r>
      <w:r>
        <w:rPr>
          <w:iCs/>
          <w:lang w:val="pt-BR"/>
        </w:rPr>
        <w:t xml:space="preserve">đề án </w:t>
      </w:r>
      <w:r>
        <w:rPr>
          <w:i/>
          <w:lang w:val="pt-BR"/>
        </w:rPr>
        <w:t>“Sơ kết Nghị quyết số 18-NQ/TW; quan điểm, định hướng sửa đổi Luật Đất đai và các luật có liên quan”</w:t>
      </w:r>
      <w:r>
        <w:rPr>
          <w:iCs/>
          <w:lang w:val="pt-BR"/>
        </w:rPr>
        <w:t xml:space="preserve"> </w:t>
      </w:r>
      <w:r>
        <w:rPr>
          <w:iCs/>
          <w:spacing w:val="-4"/>
          <w:lang w:val="pt-BR"/>
        </w:rPr>
        <w:t>đang trình Đảng ủy Chính phủ ngày 14/7/2026 xem xét để trình Ban Chấp hành Trung ương Đảng.</w:t>
      </w:r>
    </w:p>
  </w:footnote>
  <w:footnote w:id="12">
    <w:p>
      <w:pPr>
        <w:pStyle w:val="FootnoteText"/>
        <w:ind w:firstLine="142"/>
        <w:jc w:val="both"/>
        <w:rPr>
          <w:lang w:val="vi-VN"/>
        </w:rPr>
      </w:pPr>
      <w:r>
        <w:rPr>
          <w:rStyle w:val="FootnoteCharacters"/>
        </w:rPr>
        <w:footnoteRef/>
      </w:r>
      <w:r>
        <w:rPr>
          <w:lang w:val="vi-VN"/>
        </w:rPr>
        <w:t xml:space="preserve"> </w:t>
      </w:r>
      <w:r>
        <w:rPr>
          <w:lang w:val="vi-VN"/>
        </w:rPr>
        <w:t>Văn bản số 3669/BNNMT-QLĐĐ ngày 15/4/2026 của Bộ Nông nghiệp và Môi trường. Trong quá trình thực hiện đề xuất chính sách của dự án Luật Đất đai (sửa đổi), Bộ Nông nghiệp và Môi trường cũng thực hiện đồng thời việc lấy ý kiến bằn văn bản của Đảng ủy các cơ quan Trung ương, tỉnh ủy, thành ủy về sơ kết Nghị quyết số 18-NQ/TW; quan điểm, định hướng sửa đổi Luật Đất đai, tổ chức lấy ý kiến trực tiếp tại Hội nghị ngày 19/5/2026 và ngày 02/6/2026</w:t>
      </w:r>
    </w:p>
  </w:footnote>
  <w:footnote w:id="13">
    <w:p>
      <w:pPr>
        <w:pStyle w:val="FootnoteText"/>
        <w:ind w:firstLine="142"/>
        <w:jc w:val="both"/>
        <w:rPr>
          <w:lang w:val="vi-VN"/>
        </w:rPr>
      </w:pPr>
      <w:r>
        <w:rPr>
          <w:rStyle w:val="FootnoteCharacters"/>
        </w:rPr>
        <w:footnoteRef/>
      </w:r>
      <w:r>
        <w:rPr>
          <w:lang w:val="vi-VN"/>
        </w:rPr>
        <w:t xml:space="preserve"> </w:t>
      </w:r>
      <w:r>
        <w:rPr>
          <w:lang w:val="vi-VN"/>
        </w:rPr>
        <w:t>G</w:t>
      </w:r>
      <w:r>
        <w:rPr>
          <w:bCs/>
          <w:lang w:val="vi-VN"/>
        </w:rPr>
        <w:t xml:space="preserve">ồm: </w:t>
      </w:r>
      <w:r>
        <w:rPr>
          <w:b/>
          <w:sz w:val="18"/>
          <w:szCs w:val="18"/>
          <w:lang w:val="vi-VN"/>
        </w:rPr>
        <w:t>16</w:t>
      </w:r>
      <w:r>
        <w:rPr>
          <w:bCs/>
          <w:sz w:val="18"/>
          <w:szCs w:val="18"/>
          <w:lang w:val="vi-VN"/>
        </w:rPr>
        <w:t xml:space="preserve"> văn bản của Bộ, cơ quan ngang Bộ (trong đó đã có ý kiến góp ý của các Bộ: Nội vụ; Công an; Quốc phòng; Ngoại giao; Tài chính; Khoa học và Công nghệ); </w:t>
      </w:r>
      <w:r>
        <w:rPr>
          <w:b/>
          <w:bCs/>
          <w:sz w:val="18"/>
          <w:szCs w:val="18"/>
          <w:lang w:val="vi-VN"/>
        </w:rPr>
        <w:t>08</w:t>
      </w:r>
      <w:r>
        <w:rPr>
          <w:bCs/>
          <w:sz w:val="18"/>
          <w:szCs w:val="18"/>
          <w:lang w:val="vi-VN"/>
        </w:rPr>
        <w:t xml:space="preserve"> văn bản của UBND cấp tỉnh; </w:t>
      </w:r>
      <w:r>
        <w:rPr>
          <w:b/>
          <w:sz w:val="18"/>
          <w:szCs w:val="18"/>
          <w:lang w:val="vi-VN"/>
        </w:rPr>
        <w:t>25</w:t>
      </w:r>
      <w:r>
        <w:rPr>
          <w:bCs/>
          <w:sz w:val="18"/>
          <w:szCs w:val="18"/>
          <w:lang w:val="vi-VN"/>
        </w:rPr>
        <w:t xml:space="preserve"> ý kiến của Đoàn Đại biểu Quốc hội và </w:t>
      </w:r>
      <w:r>
        <w:rPr>
          <w:b/>
          <w:sz w:val="18"/>
          <w:szCs w:val="18"/>
          <w:lang w:val="vi-VN"/>
        </w:rPr>
        <w:t>18</w:t>
      </w:r>
      <w:r>
        <w:rPr>
          <w:bCs/>
          <w:sz w:val="18"/>
          <w:szCs w:val="18"/>
          <w:lang w:val="vi-VN"/>
        </w:rPr>
        <w:t xml:space="preserve"> ý kiến của Sở NNMT</w:t>
      </w:r>
      <w:r>
        <w:rPr>
          <w:bCs/>
          <w:lang w:val="vi-VN"/>
        </w:rPr>
        <w:t>.</w:t>
      </w:r>
    </w:p>
  </w:footnote>
  <w:footnote w:id="14">
    <w:p>
      <w:pPr>
        <w:pStyle w:val="FootnoteText"/>
        <w:ind w:firstLine="142"/>
        <w:jc w:val="both"/>
        <w:rPr>
          <w:sz w:val="18"/>
          <w:szCs w:val="18"/>
          <w:lang w:val="vi-VN"/>
        </w:rPr>
      </w:pPr>
      <w:r>
        <w:rPr>
          <w:rStyle w:val="FootnoteCharacters"/>
        </w:rPr>
        <w:footnoteRef/>
      </w:r>
      <w:r>
        <w:rPr>
          <w:lang w:val="vi-VN"/>
        </w:rPr>
        <w:t xml:space="preserve"> </w:t>
      </w:r>
      <w:r>
        <w:rPr>
          <w:sz w:val="18"/>
          <w:szCs w:val="18"/>
          <w:lang w:val="vi-VN"/>
        </w:rPr>
        <w:t>Bộ Nông nghiệp và Môi trường nhận được vào ngày 06/7/2026</w:t>
      </w:r>
    </w:p>
  </w:footnote>
  <w:footnote w:id="15">
    <w:p>
      <w:pPr>
        <w:pStyle w:val="FootnoteText"/>
        <w:rPr>
          <w:lang w:val="vi-VN"/>
        </w:rPr>
      </w:pPr>
      <w:r>
        <w:rPr>
          <w:rStyle w:val="FootnoteCharacters"/>
        </w:rPr>
        <w:footnoteRef/>
      </w:r>
      <w:r>
        <w:rPr/>
        <w:t xml:space="preserve"> </w:t>
      </w:r>
      <w:r>
        <w:rPr>
          <w:lang w:val="vi-VN"/>
        </w:rPr>
        <w:t>Trong đó có góp ý nhiệm vụ của Bộ Tư pháp thẩm định chính sách, dự án Luật Đất đai (sửa đổi) theo đúng quy định của Luật Ban hành văn bản quy phạm pháp luật</w:t>
      </w:r>
    </w:p>
  </w:footnote>
</w:footnote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id w:val="-2110731064"/>
      <w:docPartObj>
        <w:docPartGallery w:val="Page Numbers (Top of Page)"/>
        <w:docPartUnique w:val="true"/>
      </w:docPartObj>
    </w:sdtPr>
    <w:sdtContent>
      <w:p>
        <w:pPr>
          <w:pStyle w:val="Header"/>
          <w:jc w:val="center"/>
          <w:rPr>
            <w:rFonts w:ascii="Times New Roman" w:hAnsi="Times New Roman" w:cs="Times New Roman"/>
          </w:rPr>
        </w:pPr>
        <w:r>
          <w:rPr>
            <w:rFonts w:cs="Times New Roman" w:ascii="Times New Roman" w:hAnsi="Times New Roman"/>
          </w:rPr>
          <w:fldChar w:fldCharType="begin"/>
        </w:r>
        <w:r>
          <w:rPr>
            <w:rFonts w:cs="Times New Roman" w:ascii="Times New Roman" w:hAnsi="Times New Roman"/>
          </w:rPr>
          <w:instrText xml:space="preserve"> PAGE </w:instrText>
        </w:r>
        <w:r>
          <w:rPr>
            <w:rFonts w:cs="Times New Roman" w:ascii="Times New Roman" w:hAnsi="Times New Roman"/>
          </w:rPr>
          <w:fldChar w:fldCharType="separate"/>
        </w:r>
        <w:r>
          <w:rPr>
            <w:rFonts w:cs="Times New Roman" w:ascii="Times New Roman" w:hAnsi="Times New Roman"/>
          </w:rPr>
          <w:t>37</w:t>
        </w:r>
        <w:r>
          <w:rPr>
            <w:rFonts w:cs="Times New Roman" w:ascii="Times New Roman" w:hAnsi="Times New Roman"/>
          </w:rPr>
          <w:fldChar w:fldCharType="end"/>
        </w:r>
      </w:p>
    </w:sdtContent>
  </w:sdt>
  <w:p>
    <w:pPr>
      <w:pStyle w:val="Header"/>
      <w:rPr>
        <w:rFonts w:ascii="Times New Roman" w:hAnsi="Times New Roman" w:cs="Times New Roman"/>
      </w:rPr>
    </w:pPr>
    <w:r>
      <w:rPr>
        <w:rFonts w:cs="Times New Roman" w:ascii="Times New Roman" w:hAnsi="Times New Roman"/>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settings.xml><?xml version="1.0" encoding="utf-8"?>
<w:settings xmlns:w="http://schemas.openxmlformats.org/wordprocessingml/2006/main">
  <w:zoom w:percent="100"/>
  <w:defaultTabStop w:val="720"/>
  <w:autoHyphenation w:val="true"/>
  <w:hyphenationZone w:val="0"/>
  <w:footnotePr>
    <w:numFmt w:val="decimal"/>
    <w:footnote w:id="0"/>
    <w:footnote w:id="1"/>
  </w:footnotePr>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themeFontLang w:val="en-US" w:eastAsia="zh-CN"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Aptos" w:cs="" w:cstheme="minorBidi" w:eastAsiaTheme="minorHAnsi"/>
        <w:kern w:val="2"/>
        <w:sz w:val="28"/>
        <w:szCs w:val="24"/>
        <w:lang w:val="en-US" w:eastAsia="en-US" w:bidi="ar-SA"/>
        <w14:ligatures w14:val="standardContextual"/>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uiPriority="0"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0"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83569e"/>
    <w:pPr>
      <w:widowControl w:val="false"/>
      <w:bidi w:val="0"/>
      <w:spacing w:lineRule="auto" w:line="240" w:before="0" w:after="0"/>
      <w:jc w:val="left"/>
    </w:pPr>
    <w:rPr>
      <w:rFonts w:ascii="Courier New" w:hAnsi="Courier New" w:eastAsia="Times New Roman" w:cs="Courier New"/>
      <w:color w:val="000000"/>
      <w:kern w:val="0"/>
      <w:sz w:val="24"/>
      <w:szCs w:val="24"/>
      <w:lang w:val="vi-VN" w:eastAsia="vi-VN" w:bidi="ar-SA"/>
      <w14:ligatures w14:val="none"/>
    </w:rPr>
  </w:style>
  <w:style w:type="paragraph" w:styleId="Heading1">
    <w:name w:val="heading 1"/>
    <w:basedOn w:val="Normal"/>
    <w:next w:val="Normal"/>
    <w:link w:val="Heading1Char"/>
    <w:uiPriority w:val="9"/>
    <w:qFormat/>
    <w:rsid w:val="00113a9f"/>
    <w:pPr>
      <w:keepNext w:val="true"/>
      <w:keepLines/>
      <w:spacing w:before="360" w:after="80"/>
      <w:outlineLvl w:val="0"/>
    </w:pPr>
    <w:rPr>
      <w:rFonts w:ascii="Aptos Display" w:hAnsi="Aptos Display" w:eastAsia="等线 Light" w:cs="" w:asciiTheme="majorHAnsi" w:cstheme="majorBidi" w:eastAsiaTheme="majorEastAsia" w:hAnsiTheme="majorHAnsi"/>
      <w:color w:themeColor="accent1" w:themeShade="bf" w:val="0F4761"/>
      <w:sz w:val="40"/>
      <w:szCs w:val="40"/>
    </w:rPr>
  </w:style>
  <w:style w:type="paragraph" w:styleId="Heading2">
    <w:name w:val="heading 2"/>
    <w:basedOn w:val="Normal"/>
    <w:next w:val="Normal"/>
    <w:link w:val="Heading2Char"/>
    <w:uiPriority w:val="9"/>
    <w:unhideWhenUsed/>
    <w:qFormat/>
    <w:rsid w:val="00113a9f"/>
    <w:pPr>
      <w:keepNext w:val="true"/>
      <w:keepLines/>
      <w:spacing w:before="160" w:after="80"/>
      <w:outlineLvl w:val="1"/>
    </w:pPr>
    <w:rPr>
      <w:rFonts w:ascii="Aptos Display" w:hAnsi="Aptos Display" w:eastAsia="等线 Light" w:cs="" w:asciiTheme="majorHAnsi" w:cstheme="majorBidi" w:eastAsiaTheme="majorEastAsia" w:hAnsiTheme="majorHAnsi"/>
      <w:color w:themeColor="accent1" w:themeShade="bf" w:val="0F4761"/>
      <w:sz w:val="32"/>
      <w:szCs w:val="32"/>
    </w:rPr>
  </w:style>
  <w:style w:type="paragraph" w:styleId="Heading3">
    <w:name w:val="heading 3"/>
    <w:basedOn w:val="Normal"/>
    <w:next w:val="Normal"/>
    <w:link w:val="Heading3Char"/>
    <w:uiPriority w:val="9"/>
    <w:unhideWhenUsed/>
    <w:qFormat/>
    <w:rsid w:val="00113a9f"/>
    <w:pPr>
      <w:keepNext w:val="true"/>
      <w:keepLines/>
      <w:spacing w:before="160" w:after="80"/>
      <w:outlineLvl w:val="2"/>
    </w:pPr>
    <w:rPr>
      <w:rFonts w:ascii="Aptos" w:hAnsi="Aptos" w:eastAsia="等线 Light" w:cs="" w:asciiTheme="minorHAnsi" w:cstheme="majorBidi" w:eastAsiaTheme="majorEastAsia" w:hAnsiTheme="minorHAnsi"/>
      <w:color w:themeColor="accent1" w:themeShade="bf" w:val="0F4761"/>
      <w:szCs w:val="28"/>
    </w:rPr>
  </w:style>
  <w:style w:type="paragraph" w:styleId="Heading4">
    <w:name w:val="heading 4"/>
    <w:basedOn w:val="Normal"/>
    <w:next w:val="Normal"/>
    <w:link w:val="Heading4Char"/>
    <w:uiPriority w:val="9"/>
    <w:semiHidden/>
    <w:unhideWhenUsed/>
    <w:qFormat/>
    <w:rsid w:val="00113a9f"/>
    <w:pPr>
      <w:keepNext w:val="true"/>
      <w:keepLines/>
      <w:spacing w:before="80" w:after="40"/>
      <w:outlineLvl w:val="3"/>
    </w:pPr>
    <w:rPr>
      <w:rFonts w:ascii="Aptos" w:hAnsi="Aptos" w:eastAsia="等线 Light" w:cs="" w:asciiTheme="minorHAnsi" w:cstheme="majorBidi" w:eastAsiaTheme="majorEastAsia" w:hAnsiTheme="minorHAnsi"/>
      <w:i/>
      <w:iCs/>
      <w:color w:themeColor="accent1" w:themeShade="bf" w:val="0F4761"/>
    </w:rPr>
  </w:style>
  <w:style w:type="paragraph" w:styleId="Heading5">
    <w:name w:val="heading 5"/>
    <w:basedOn w:val="Normal"/>
    <w:next w:val="Normal"/>
    <w:link w:val="Heading5Char"/>
    <w:uiPriority w:val="9"/>
    <w:semiHidden/>
    <w:unhideWhenUsed/>
    <w:qFormat/>
    <w:rsid w:val="00113a9f"/>
    <w:pPr>
      <w:keepNext w:val="true"/>
      <w:keepLines/>
      <w:spacing w:before="80" w:after="40"/>
      <w:outlineLvl w:val="4"/>
    </w:pPr>
    <w:rPr>
      <w:rFonts w:ascii="Aptos" w:hAnsi="Aptos" w:eastAsia="等线 Light" w:cs="" w:asciiTheme="minorHAnsi" w:cstheme="majorBidi" w:eastAsiaTheme="majorEastAsia" w:hAnsiTheme="minorHAnsi"/>
      <w:color w:themeColor="accent1" w:themeShade="bf" w:val="0F4761"/>
    </w:rPr>
  </w:style>
  <w:style w:type="paragraph" w:styleId="Heading6">
    <w:name w:val="heading 6"/>
    <w:basedOn w:val="Normal"/>
    <w:next w:val="Normal"/>
    <w:link w:val="Heading6Char"/>
    <w:uiPriority w:val="9"/>
    <w:semiHidden/>
    <w:unhideWhenUsed/>
    <w:qFormat/>
    <w:rsid w:val="00113a9f"/>
    <w:pPr>
      <w:keepNext w:val="true"/>
      <w:keepLines/>
      <w:spacing w:before="40" w:after="0"/>
      <w:outlineLvl w:val="5"/>
    </w:pPr>
    <w:rPr>
      <w:rFonts w:ascii="Aptos" w:hAnsi="Aptos" w:eastAsia="等线 Light" w:cs="" w:asciiTheme="minorHAnsi" w:cstheme="majorBidi" w:eastAsiaTheme="majorEastAsia" w:hAnsiTheme="minorHAnsi"/>
      <w:i/>
      <w:iCs/>
      <w:color w:themeColor="text1" w:themeTint="a6" w:val="595959"/>
    </w:rPr>
  </w:style>
  <w:style w:type="paragraph" w:styleId="Heading7">
    <w:name w:val="heading 7"/>
    <w:basedOn w:val="Normal"/>
    <w:next w:val="Normal"/>
    <w:link w:val="Heading7Char"/>
    <w:uiPriority w:val="9"/>
    <w:semiHidden/>
    <w:unhideWhenUsed/>
    <w:qFormat/>
    <w:rsid w:val="00113a9f"/>
    <w:pPr>
      <w:keepNext w:val="true"/>
      <w:keepLines/>
      <w:spacing w:before="40" w:after="0"/>
      <w:outlineLvl w:val="6"/>
    </w:pPr>
    <w:rPr>
      <w:rFonts w:ascii="Aptos" w:hAnsi="Aptos" w:eastAsia="等线 Light" w:cs="" w:asciiTheme="minorHAnsi" w:cstheme="majorBidi" w:eastAsiaTheme="majorEastAsia" w:hAnsiTheme="minorHAnsi"/>
      <w:color w:themeColor="text1" w:themeTint="a6" w:val="595959"/>
    </w:rPr>
  </w:style>
  <w:style w:type="paragraph" w:styleId="Heading8">
    <w:name w:val="heading 8"/>
    <w:basedOn w:val="Normal"/>
    <w:next w:val="Normal"/>
    <w:link w:val="Heading8Char"/>
    <w:uiPriority w:val="9"/>
    <w:semiHidden/>
    <w:unhideWhenUsed/>
    <w:qFormat/>
    <w:rsid w:val="00113a9f"/>
    <w:pPr>
      <w:keepNext w:val="true"/>
      <w:keepLines/>
      <w:outlineLvl w:val="7"/>
    </w:pPr>
    <w:rPr>
      <w:rFonts w:ascii="Aptos" w:hAnsi="Aptos" w:eastAsia="等线 Light" w:cs="" w:asciiTheme="minorHAnsi" w:cstheme="majorBidi" w:eastAsiaTheme="majorEastAsia" w:hAnsiTheme="minorHAnsi"/>
      <w:i/>
      <w:iCs/>
      <w:color w:themeColor="text1" w:themeTint="d8" w:val="272727"/>
    </w:rPr>
  </w:style>
  <w:style w:type="paragraph" w:styleId="Heading9">
    <w:name w:val="heading 9"/>
    <w:basedOn w:val="Normal"/>
    <w:next w:val="Normal"/>
    <w:link w:val="Heading9Char"/>
    <w:uiPriority w:val="9"/>
    <w:semiHidden/>
    <w:unhideWhenUsed/>
    <w:qFormat/>
    <w:rsid w:val="00113a9f"/>
    <w:pPr>
      <w:keepNext w:val="true"/>
      <w:keepLines/>
      <w:outlineLvl w:val="8"/>
    </w:pPr>
    <w:rPr>
      <w:rFonts w:ascii="Aptos" w:hAnsi="Aptos" w:eastAsia="等线 Light" w:cs="" w:asciiTheme="minorHAnsi" w:cstheme="majorBidi" w:eastAsiaTheme="majorEastAsia" w:hAnsiTheme="minorHAnsi"/>
      <w:color w:themeColor="text1" w:themeTint="d8" w:val="272727"/>
    </w:rPr>
  </w:style>
  <w:style w:type="character" w:styleId="DefaultParagraphFont" w:default="1">
    <w:name w:val="Default Paragraph Font"/>
    <w:uiPriority w:val="1"/>
    <w:semiHidden/>
    <w:unhideWhenUsed/>
    <w:qFormat/>
    <w:rPr/>
  </w:style>
  <w:style w:type="character" w:styleId="Heading1Char" w:customStyle="1">
    <w:name w:val="Heading 1 Char"/>
    <w:basedOn w:val="DefaultParagraphFont"/>
    <w:link w:val="Heading1"/>
    <w:uiPriority w:val="9"/>
    <w:qFormat/>
    <w:rsid w:val="00113a9f"/>
    <w:rPr>
      <w:rFonts w:ascii="Aptos Display" w:hAnsi="Aptos Display" w:eastAsia="等线 Light" w:cs="" w:asciiTheme="majorHAnsi" w:cstheme="majorBidi" w:eastAsiaTheme="majorEastAsia" w:hAnsiTheme="majorHAnsi"/>
      <w:color w:themeColor="accent1" w:themeShade="bf" w:val="0F4761"/>
      <w:sz w:val="40"/>
      <w:szCs w:val="40"/>
    </w:rPr>
  </w:style>
  <w:style w:type="character" w:styleId="Heading2Char" w:customStyle="1">
    <w:name w:val="Heading 2 Char"/>
    <w:basedOn w:val="DefaultParagraphFont"/>
    <w:link w:val="Heading2"/>
    <w:uiPriority w:val="9"/>
    <w:qFormat/>
    <w:rsid w:val="00113a9f"/>
    <w:rPr>
      <w:rFonts w:ascii="Aptos Display" w:hAnsi="Aptos Display" w:eastAsia="等线 Light" w:cs="" w:asciiTheme="majorHAnsi" w:cstheme="majorBidi" w:eastAsiaTheme="majorEastAsia" w:hAnsiTheme="majorHAnsi"/>
      <w:color w:themeColor="accent1" w:themeShade="bf" w:val="0F4761"/>
      <w:sz w:val="32"/>
      <w:szCs w:val="32"/>
    </w:rPr>
  </w:style>
  <w:style w:type="character" w:styleId="Heading3Char" w:customStyle="1">
    <w:name w:val="Heading 3 Char"/>
    <w:basedOn w:val="DefaultParagraphFont"/>
    <w:link w:val="Heading3"/>
    <w:uiPriority w:val="9"/>
    <w:qFormat/>
    <w:rsid w:val="00113a9f"/>
    <w:rPr>
      <w:rFonts w:ascii="Aptos" w:hAnsi="Aptos" w:eastAsia="等线 Light" w:cs="" w:asciiTheme="minorHAnsi" w:cstheme="majorBidi" w:eastAsiaTheme="majorEastAsia" w:hAnsiTheme="minorHAnsi"/>
      <w:color w:themeColor="accent1" w:themeShade="bf" w:val="0F4761"/>
      <w:szCs w:val="28"/>
    </w:rPr>
  </w:style>
  <w:style w:type="character" w:styleId="Heading4Char" w:customStyle="1">
    <w:name w:val="Heading 4 Char"/>
    <w:basedOn w:val="DefaultParagraphFont"/>
    <w:link w:val="Heading4"/>
    <w:uiPriority w:val="9"/>
    <w:semiHidden/>
    <w:qFormat/>
    <w:rsid w:val="00113a9f"/>
    <w:rPr>
      <w:rFonts w:ascii="Aptos" w:hAnsi="Aptos" w:eastAsia="等线 Light" w:cs="" w:asciiTheme="minorHAnsi" w:cstheme="majorBidi" w:eastAsiaTheme="majorEastAsia" w:hAnsiTheme="minorHAnsi"/>
      <w:i/>
      <w:iCs/>
      <w:color w:themeColor="accent1" w:themeShade="bf" w:val="0F4761"/>
    </w:rPr>
  </w:style>
  <w:style w:type="character" w:styleId="Heading5Char" w:customStyle="1">
    <w:name w:val="Heading 5 Char"/>
    <w:basedOn w:val="DefaultParagraphFont"/>
    <w:link w:val="Heading5"/>
    <w:uiPriority w:val="9"/>
    <w:semiHidden/>
    <w:qFormat/>
    <w:rsid w:val="00113a9f"/>
    <w:rPr>
      <w:rFonts w:ascii="Aptos" w:hAnsi="Aptos" w:eastAsia="等线 Light" w:cs="" w:asciiTheme="minorHAnsi" w:cstheme="majorBidi" w:eastAsiaTheme="majorEastAsia" w:hAnsiTheme="minorHAnsi"/>
      <w:color w:themeColor="accent1" w:themeShade="bf" w:val="0F4761"/>
    </w:rPr>
  </w:style>
  <w:style w:type="character" w:styleId="Heading6Char" w:customStyle="1">
    <w:name w:val="Heading 6 Char"/>
    <w:basedOn w:val="DefaultParagraphFont"/>
    <w:link w:val="Heading6"/>
    <w:uiPriority w:val="9"/>
    <w:semiHidden/>
    <w:qFormat/>
    <w:rsid w:val="00113a9f"/>
    <w:rPr>
      <w:rFonts w:ascii="Aptos" w:hAnsi="Aptos" w:eastAsia="等线 Light" w:cs="" w:asciiTheme="minorHAnsi" w:cstheme="majorBidi" w:eastAsiaTheme="majorEastAsia" w:hAnsiTheme="minorHAnsi"/>
      <w:i/>
      <w:iCs/>
      <w:color w:themeColor="text1" w:themeTint="a6" w:val="595959"/>
    </w:rPr>
  </w:style>
  <w:style w:type="character" w:styleId="Heading7Char" w:customStyle="1">
    <w:name w:val="Heading 7 Char"/>
    <w:basedOn w:val="DefaultParagraphFont"/>
    <w:link w:val="Heading7"/>
    <w:uiPriority w:val="9"/>
    <w:semiHidden/>
    <w:qFormat/>
    <w:rsid w:val="00113a9f"/>
    <w:rPr>
      <w:rFonts w:ascii="Aptos" w:hAnsi="Aptos" w:eastAsia="等线 Light" w:cs="" w:asciiTheme="minorHAnsi" w:cstheme="majorBidi" w:eastAsiaTheme="majorEastAsia" w:hAnsiTheme="minorHAnsi"/>
      <w:color w:themeColor="text1" w:themeTint="a6" w:val="595959"/>
    </w:rPr>
  </w:style>
  <w:style w:type="character" w:styleId="Heading8Char" w:customStyle="1">
    <w:name w:val="Heading 8 Char"/>
    <w:basedOn w:val="DefaultParagraphFont"/>
    <w:link w:val="Heading8"/>
    <w:uiPriority w:val="9"/>
    <w:semiHidden/>
    <w:qFormat/>
    <w:rsid w:val="00113a9f"/>
    <w:rPr>
      <w:rFonts w:ascii="Aptos" w:hAnsi="Aptos" w:eastAsia="等线 Light" w:cs="" w:asciiTheme="minorHAnsi" w:cstheme="majorBidi" w:eastAsiaTheme="majorEastAsia" w:hAnsiTheme="minorHAnsi"/>
      <w:i/>
      <w:iCs/>
      <w:color w:themeColor="text1" w:themeTint="d8" w:val="272727"/>
    </w:rPr>
  </w:style>
  <w:style w:type="character" w:styleId="Heading9Char" w:customStyle="1">
    <w:name w:val="Heading 9 Char"/>
    <w:basedOn w:val="DefaultParagraphFont"/>
    <w:link w:val="Heading9"/>
    <w:uiPriority w:val="9"/>
    <w:semiHidden/>
    <w:qFormat/>
    <w:rsid w:val="00113a9f"/>
    <w:rPr>
      <w:rFonts w:ascii="Aptos" w:hAnsi="Aptos" w:eastAsia="等线 Light" w:cs="" w:asciiTheme="minorHAnsi" w:cstheme="majorBidi" w:eastAsiaTheme="majorEastAsia" w:hAnsiTheme="minorHAnsi"/>
      <w:color w:themeColor="text1" w:themeTint="d8" w:val="272727"/>
    </w:rPr>
  </w:style>
  <w:style w:type="character" w:styleId="TitleChar" w:customStyle="1">
    <w:name w:val="Title Char"/>
    <w:basedOn w:val="DefaultParagraphFont"/>
    <w:link w:val="Title"/>
    <w:uiPriority w:val="10"/>
    <w:qFormat/>
    <w:rsid w:val="00113a9f"/>
    <w:rPr>
      <w:rFonts w:ascii="Aptos Display" w:hAnsi="Aptos Display" w:eastAsia="等线 Light" w:cs="" w:asciiTheme="majorHAnsi" w:cstheme="majorBidi" w:eastAsiaTheme="majorEastAsia" w:hAnsiTheme="majorHAnsi"/>
      <w:spacing w:val="-10"/>
      <w:kern w:val="2"/>
      <w:sz w:val="56"/>
      <w:szCs w:val="56"/>
    </w:rPr>
  </w:style>
  <w:style w:type="character" w:styleId="SubtitleChar" w:customStyle="1">
    <w:name w:val="Subtitle Char"/>
    <w:basedOn w:val="DefaultParagraphFont"/>
    <w:link w:val="Subtitle"/>
    <w:uiPriority w:val="11"/>
    <w:qFormat/>
    <w:rsid w:val="00113a9f"/>
    <w:rPr>
      <w:rFonts w:ascii="Aptos" w:hAnsi="Aptos" w:eastAsia="等线 Light" w:cs="" w:asciiTheme="minorHAnsi" w:cstheme="majorBidi" w:eastAsiaTheme="majorEastAsia" w:hAnsiTheme="minorHAnsi"/>
      <w:color w:themeColor="text1" w:themeTint="a6" w:val="595959"/>
      <w:spacing w:val="15"/>
      <w:szCs w:val="28"/>
    </w:rPr>
  </w:style>
  <w:style w:type="character" w:styleId="QuoteChar" w:customStyle="1">
    <w:name w:val="Quote Char"/>
    <w:basedOn w:val="DefaultParagraphFont"/>
    <w:link w:val="Quote"/>
    <w:uiPriority w:val="29"/>
    <w:qFormat/>
    <w:rsid w:val="00113a9f"/>
    <w:rPr>
      <w:i/>
      <w:iCs/>
      <w:color w:themeColor="text1" w:themeTint="bf" w:val="404040"/>
    </w:rPr>
  </w:style>
  <w:style w:type="character" w:styleId="IntenseEmphasis">
    <w:name w:val="Intense Emphasis"/>
    <w:basedOn w:val="DefaultParagraphFont"/>
    <w:uiPriority w:val="21"/>
    <w:qFormat/>
    <w:rsid w:val="00113a9f"/>
    <w:rPr>
      <w:i/>
      <w:iCs/>
      <w:color w:themeColor="accent1" w:themeShade="bf" w:val="0F4761"/>
    </w:rPr>
  </w:style>
  <w:style w:type="character" w:styleId="IntenseQuoteChar" w:customStyle="1">
    <w:name w:val="Intense Quote Char"/>
    <w:basedOn w:val="DefaultParagraphFont"/>
    <w:link w:val="IntenseQuote"/>
    <w:uiPriority w:val="30"/>
    <w:qFormat/>
    <w:rsid w:val="00113a9f"/>
    <w:rPr>
      <w:i/>
      <w:iCs/>
      <w:color w:themeColor="accent1" w:themeShade="bf" w:val="0F4761"/>
    </w:rPr>
  </w:style>
  <w:style w:type="character" w:styleId="IntenseReference">
    <w:name w:val="Intense Reference"/>
    <w:basedOn w:val="DefaultParagraphFont"/>
    <w:uiPriority w:val="32"/>
    <w:qFormat/>
    <w:rsid w:val="00113a9f"/>
    <w:rPr>
      <w:b/>
      <w:bCs/>
      <w:smallCaps/>
      <w:color w:themeColor="accent1" w:themeShade="bf" w:val="0F4761"/>
      <w:spacing w:val="5"/>
    </w:rPr>
  </w:style>
  <w:style w:type="character" w:styleId="HeaderChar" w:customStyle="1">
    <w:name w:val="Header Char"/>
    <w:basedOn w:val="DefaultParagraphFont"/>
    <w:link w:val="Header"/>
    <w:uiPriority w:val="99"/>
    <w:qFormat/>
    <w:rsid w:val="003858ab"/>
    <w:rPr>
      <w:rFonts w:ascii="Courier New" w:hAnsi="Courier New" w:eastAsia="Times New Roman" w:cs="Courier New"/>
      <w:color w:val="000000"/>
      <w:kern w:val="0"/>
      <w:sz w:val="24"/>
      <w:lang w:val="vi-VN" w:eastAsia="vi-VN"/>
      <w14:ligatures w14:val="none"/>
    </w:rPr>
  </w:style>
  <w:style w:type="character" w:styleId="FooterChar" w:customStyle="1">
    <w:name w:val="Footer Char"/>
    <w:basedOn w:val="DefaultParagraphFont"/>
    <w:link w:val="Footer"/>
    <w:uiPriority w:val="99"/>
    <w:qFormat/>
    <w:rsid w:val="003858ab"/>
    <w:rPr>
      <w:rFonts w:ascii="Courier New" w:hAnsi="Courier New" w:eastAsia="Times New Roman" w:cs="Courier New"/>
      <w:color w:val="000000"/>
      <w:kern w:val="0"/>
      <w:sz w:val="24"/>
      <w:lang w:val="vi-VN" w:eastAsia="vi-VN"/>
      <w14:ligatures w14:val="none"/>
    </w:rPr>
  </w:style>
  <w:style w:type="character" w:styleId="fontstyle01" w:customStyle="1">
    <w:name w:val="fontstyle01"/>
    <w:basedOn w:val="DefaultParagraphFont"/>
    <w:qFormat/>
    <w:rsid w:val="003858ab"/>
    <w:rPr>
      <w:rFonts w:ascii="Times New Roman" w:hAnsi="Times New Roman" w:cs="Times New Roman"/>
      <w:b w:val="false"/>
      <w:bCs w:val="false"/>
      <w:i w:val="false"/>
      <w:iCs w:val="false"/>
      <w:color w:val="000000"/>
      <w:sz w:val="28"/>
      <w:szCs w:val="28"/>
    </w:rPr>
  </w:style>
  <w:style w:type="character" w:styleId="FootnoteTextChar" w:customStyle="1">
    <w:name w:val="Footnote Text Char"/>
    <w:basedOn w:val="DefaultParagraphFont"/>
    <w:link w:val="FootnoteText"/>
    <w:qFormat/>
    <w:rsid w:val="003858ab"/>
    <w:rPr>
      <w:rFonts w:eastAsia="Times New Roman" w:cs="Times New Roman"/>
      <w:kern w:val="0"/>
      <w:sz w:val="20"/>
      <w:szCs w:val="20"/>
      <w14:ligatures w14:val="none"/>
    </w:rPr>
  </w:style>
  <w:style w:type="character" w:styleId="FootnoteCharacters">
    <w:name w:val="Footnote Characters"/>
    <w:link w:val="RefChar"/>
    <w:qFormat/>
    <w:rsid w:val="003858ab"/>
    <w:rPr>
      <w:vertAlign w:val="superscript"/>
    </w:rPr>
  </w:style>
  <w:style w:type="character" w:styleId="FootnoteReference">
    <w:name w:val="footnote reference"/>
    <w:rPr>
      <w:vertAlign w:val="superscript"/>
    </w:rPr>
  </w:style>
  <w:style w:type="character" w:styleId="BodyTextChar" w:customStyle="1">
    <w:name w:val="Body Text Char"/>
    <w:basedOn w:val="DefaultParagraphFont"/>
    <w:qFormat/>
    <w:rsid w:val="003858ab"/>
    <w:rPr>
      <w:rFonts w:eastAsia="Times New Roman" w:cs="Times New Roman"/>
      <w:kern w:val="0"/>
      <w:sz w:val="24"/>
      <w:lang w:val="x-none" w:eastAsia="x-none"/>
      <w14:ligatures w14:val="none"/>
    </w:rPr>
  </w:style>
  <w:style w:type="character" w:styleId="Vnbnnidung" w:customStyle="1">
    <w:name w:val="Văn bản nội dung_"/>
    <w:link w:val="Vnbnnidung1"/>
    <w:qFormat/>
    <w:rsid w:val="003858ab"/>
    <w:rPr>
      <w:szCs w:val="28"/>
      <w:shd w:fill="FFFFFF" w:val="clear"/>
    </w:rPr>
  </w:style>
  <w:style w:type="character" w:styleId="fontstyle21" w:customStyle="1">
    <w:name w:val="fontstyle21"/>
    <w:basedOn w:val="DefaultParagraphFont"/>
    <w:qFormat/>
    <w:rsid w:val="003858ab"/>
    <w:rPr>
      <w:rFonts w:ascii="Times New Roman" w:hAnsi="Times New Roman" w:cs="Times New Roman"/>
      <w:b w:val="false"/>
      <w:bCs w:val="false"/>
      <w:i/>
      <w:iCs/>
      <w:color w:val="000000"/>
      <w:sz w:val="28"/>
      <w:szCs w:val="28"/>
    </w:rPr>
  </w:style>
  <w:style w:type="character" w:styleId="fontstyle31" w:customStyle="1">
    <w:name w:val="fontstyle31"/>
    <w:basedOn w:val="DefaultParagraphFont"/>
    <w:qFormat/>
    <w:rsid w:val="003858ab"/>
    <w:rPr>
      <w:rFonts w:ascii="Times New Roman" w:hAnsi="Times New Roman" w:cs="Times New Roman"/>
      <w:b w:val="false"/>
      <w:bCs w:val="false"/>
      <w:i/>
      <w:iCs/>
      <w:color w:val="000000"/>
      <w:sz w:val="28"/>
      <w:szCs w:val="28"/>
    </w:rPr>
  </w:style>
  <w:style w:type="character" w:styleId="BodyTextIndent2Char" w:customStyle="1">
    <w:name w:val="Body Text Indent 2 Char"/>
    <w:basedOn w:val="DefaultParagraphFont"/>
    <w:link w:val="BodyTextIndent2"/>
    <w:uiPriority w:val="99"/>
    <w:semiHidden/>
    <w:qFormat/>
    <w:rsid w:val="003858ab"/>
    <w:rPr>
      <w:rFonts w:ascii="Courier New" w:hAnsi="Courier New" w:eastAsia="Times New Roman" w:cs="Courier New"/>
      <w:color w:val="000000"/>
      <w:kern w:val="0"/>
      <w:sz w:val="24"/>
      <w:lang w:val="vi-VN" w:eastAsia="vi-VN"/>
      <w14:ligatures w14:val="none"/>
    </w:rPr>
  </w:style>
  <w:style w:type="character" w:styleId="BalloonTextChar" w:customStyle="1">
    <w:name w:val="Balloon Text Char"/>
    <w:basedOn w:val="DefaultParagraphFont"/>
    <w:link w:val="BalloonText"/>
    <w:uiPriority w:val="99"/>
    <w:semiHidden/>
    <w:qFormat/>
    <w:rsid w:val="003858ab"/>
    <w:rPr>
      <w:rFonts w:ascii="Tahoma" w:hAnsi="Tahoma" w:eastAsia="Times New Roman" w:cs="Tahoma"/>
      <w:color w:val="000000"/>
      <w:kern w:val="0"/>
      <w:sz w:val="16"/>
      <w:szCs w:val="16"/>
      <w:lang w:val="vi-VN" w:eastAsia="vi-VN"/>
      <w14:ligatures w14:val="none"/>
    </w:rPr>
  </w:style>
  <w:style w:type="character" w:styleId="Strong">
    <w:name w:val="Strong"/>
    <w:basedOn w:val="DefaultParagraphFont"/>
    <w:uiPriority w:val="22"/>
    <w:qFormat/>
    <w:rsid w:val="006e44d7"/>
    <w:rPr>
      <w:b/>
      <w:bCs/>
    </w:rPr>
  </w:style>
  <w:style w:type="character" w:styleId="EndnoteReference">
    <w:name w:val="endnote reference"/>
    <w:rPr>
      <w:vertAlign w:val="superscript"/>
    </w:rPr>
  </w:style>
  <w:style w:type="character" w:styleId="EndnoteCharacters">
    <w:name w:val="Endnote Characters"/>
    <w:qFormat/>
    <w:rPr/>
  </w:style>
  <w:style w:type="paragraph" w:styleId="Heading">
    <w:name w:val="Heading"/>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link w:val="BodyTextChar"/>
    <w:rsid w:val="003858ab"/>
    <w:pPr>
      <w:widowControl/>
      <w:spacing w:before="0" w:after="120"/>
    </w:pPr>
    <w:rPr>
      <w:rFonts w:ascii="Times New Roman" w:hAnsi="Times New Roman" w:cs="Times New Roman"/>
      <w:color w:val="auto"/>
      <w:lang w:val="x-none" w:eastAsia="x-none"/>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Title">
    <w:name w:val="Title"/>
    <w:basedOn w:val="Normal"/>
    <w:next w:val="Normal"/>
    <w:link w:val="TitleChar"/>
    <w:uiPriority w:val="10"/>
    <w:qFormat/>
    <w:rsid w:val="00113a9f"/>
    <w:pPr>
      <w:spacing w:before="0" w:after="80"/>
      <w:contextualSpacing/>
    </w:pPr>
    <w:rPr>
      <w:rFonts w:ascii="Aptos Display" w:hAnsi="Aptos Display" w:eastAsia="等线 Light" w:cs="" w:asciiTheme="majorHAnsi" w:cstheme="majorBidi" w:eastAsiaTheme="majorEastAsia" w:hAnsiTheme="majorHAnsi"/>
      <w:spacing w:val="-10"/>
      <w:kern w:val="2"/>
      <w:sz w:val="56"/>
      <w:szCs w:val="56"/>
    </w:rPr>
  </w:style>
  <w:style w:type="paragraph" w:styleId="Subtitle">
    <w:name w:val="Subtitle"/>
    <w:basedOn w:val="Normal"/>
    <w:next w:val="Normal"/>
    <w:link w:val="SubtitleChar"/>
    <w:uiPriority w:val="11"/>
    <w:qFormat/>
    <w:rsid w:val="00113a9f"/>
    <w:pPr/>
    <w:rPr>
      <w:rFonts w:ascii="Aptos" w:hAnsi="Aptos" w:eastAsia="等线 Light" w:cs="" w:asciiTheme="minorHAnsi" w:cstheme="majorBidi" w:eastAsiaTheme="majorEastAsia" w:hAnsiTheme="minorHAnsi"/>
      <w:color w:themeColor="text1" w:themeTint="a6" w:val="595959"/>
      <w:spacing w:val="15"/>
      <w:szCs w:val="28"/>
    </w:rPr>
  </w:style>
  <w:style w:type="paragraph" w:styleId="Quote">
    <w:name w:val="Quote"/>
    <w:basedOn w:val="Normal"/>
    <w:next w:val="Normal"/>
    <w:link w:val="QuoteChar"/>
    <w:uiPriority w:val="29"/>
    <w:qFormat/>
    <w:rsid w:val="00113a9f"/>
    <w:pPr>
      <w:spacing w:before="160" w:after="0"/>
      <w:jc w:val="center"/>
    </w:pPr>
    <w:rPr>
      <w:i/>
      <w:iCs/>
      <w:color w:themeColor="text1" w:themeTint="bf" w:val="404040"/>
    </w:rPr>
  </w:style>
  <w:style w:type="paragraph" w:styleId="ListParagraph">
    <w:name w:val="List Paragraph"/>
    <w:basedOn w:val="Normal"/>
    <w:uiPriority w:val="34"/>
    <w:qFormat/>
    <w:rsid w:val="00113a9f"/>
    <w:pPr>
      <w:spacing w:before="0" w:after="0"/>
      <w:ind w:left="720"/>
      <w:contextualSpacing/>
    </w:pPr>
    <w:rPr/>
  </w:style>
  <w:style w:type="paragraph" w:styleId="IntenseQuote">
    <w:name w:val="Intense Quote"/>
    <w:basedOn w:val="Normal"/>
    <w:next w:val="Normal"/>
    <w:link w:val="IntenseQuoteChar"/>
    <w:uiPriority w:val="30"/>
    <w:qFormat/>
    <w:rsid w:val="00113a9f"/>
    <w:pPr>
      <w:pBdr>
        <w:top w:val="single" w:sz="4" w:space="10" w:color="0F4761" w:themeColor="accent1" w:themeShade="bf"/>
        <w:bottom w:val="single" w:sz="4" w:space="10" w:color="0F4761" w:themeColor="accent1" w:themeShade="bf"/>
      </w:pBdr>
      <w:spacing w:before="360" w:after="360"/>
      <w:ind w:left="864" w:right="864"/>
      <w:jc w:val="center"/>
    </w:pPr>
    <w:rPr>
      <w:i/>
      <w:iCs/>
      <w:color w:themeColor="accent1" w:themeShade="bf" w:val="0F4761"/>
    </w:rPr>
  </w:style>
  <w:style w:type="paragraph" w:styleId="HeaderandFooter">
    <w:name w:val="Header and Footer"/>
    <w:basedOn w:val="Normal"/>
    <w:qFormat/>
    <w:pPr/>
    <w:rPr/>
  </w:style>
  <w:style w:type="paragraph" w:styleId="Header">
    <w:name w:val="header"/>
    <w:basedOn w:val="Normal"/>
    <w:link w:val="HeaderChar"/>
    <w:uiPriority w:val="99"/>
    <w:unhideWhenUsed/>
    <w:rsid w:val="003858ab"/>
    <w:pPr>
      <w:tabs>
        <w:tab w:val="clear" w:pos="720"/>
        <w:tab w:val="center" w:pos="4680" w:leader="none"/>
        <w:tab w:val="right" w:pos="9360" w:leader="none"/>
      </w:tabs>
    </w:pPr>
    <w:rPr/>
  </w:style>
  <w:style w:type="paragraph" w:styleId="Footer">
    <w:name w:val="footer"/>
    <w:basedOn w:val="Normal"/>
    <w:link w:val="FooterChar"/>
    <w:uiPriority w:val="99"/>
    <w:unhideWhenUsed/>
    <w:rsid w:val="003858ab"/>
    <w:pPr>
      <w:tabs>
        <w:tab w:val="clear" w:pos="720"/>
        <w:tab w:val="center" w:pos="4680" w:leader="none"/>
        <w:tab w:val="right" w:pos="9360" w:leader="none"/>
      </w:tabs>
    </w:pPr>
    <w:rPr/>
  </w:style>
  <w:style w:type="paragraph" w:styleId="FootnoteText">
    <w:name w:val="footnote text"/>
    <w:basedOn w:val="Normal"/>
    <w:link w:val="FootnoteTextChar"/>
    <w:qFormat/>
    <w:rsid w:val="003858ab"/>
    <w:pPr>
      <w:widowControl/>
    </w:pPr>
    <w:rPr>
      <w:rFonts w:ascii="Times New Roman" w:hAnsi="Times New Roman" w:cs="Times New Roman"/>
      <w:color w:val="auto"/>
      <w:sz w:val="20"/>
      <w:szCs w:val="20"/>
      <w:lang w:val="en-US" w:eastAsia="en-US"/>
    </w:rPr>
  </w:style>
  <w:style w:type="paragraph" w:styleId="RefChar" w:customStyle="1">
    <w:name w:val="Ref Char"/>
    <w:basedOn w:val="Normal"/>
    <w:uiPriority w:val="99"/>
    <w:qFormat/>
    <w:rsid w:val="003858ab"/>
    <w:pPr>
      <w:widowControl/>
      <w:spacing w:lineRule="exact" w:line="240" w:before="0" w:after="160"/>
    </w:pPr>
    <w:rPr>
      <w:rFonts w:ascii="Times New Roman" w:hAnsi="Times New Roman" w:eastAsia="Aptos" w:cs="" w:cstheme="minorBidi" w:eastAsiaTheme="minorHAnsi"/>
      <w:color w:val="auto"/>
      <w:kern w:val="2"/>
      <w:sz w:val="28"/>
      <w:vertAlign w:val="superscript"/>
      <w:lang w:val="en-US" w:eastAsia="en-US"/>
      <w14:ligatures w14:val="standardContextual"/>
    </w:rPr>
  </w:style>
  <w:style w:type="paragraph" w:styleId="NormalWeb">
    <w:name w:val="Normal (Web)"/>
    <w:basedOn w:val="Normal"/>
    <w:uiPriority w:val="99"/>
    <w:semiHidden/>
    <w:unhideWhenUsed/>
    <w:qFormat/>
    <w:rsid w:val="003858ab"/>
    <w:pPr>
      <w:widowControl/>
      <w:spacing w:beforeAutospacing="1" w:afterAutospacing="1"/>
    </w:pPr>
    <w:rPr>
      <w:rFonts w:ascii="Times New Roman" w:hAnsi="Times New Roman" w:cs="Times New Roman"/>
      <w:color w:val="auto"/>
      <w:lang w:val="en-US" w:eastAsia="en-US"/>
    </w:rPr>
  </w:style>
  <w:style w:type="paragraph" w:styleId="4GCharCharChar" w:customStyle="1">
    <w:name w:val="4_G Char Char Char"/>
    <w:basedOn w:val="Normal"/>
    <w:uiPriority w:val="99"/>
    <w:qFormat/>
    <w:rsid w:val="003858ab"/>
    <w:pPr>
      <w:widowControl/>
      <w:spacing w:lineRule="exact" w:line="240" w:before="100" w:after="0"/>
    </w:pPr>
    <w:rPr>
      <w:rFonts w:ascii="Times New Roman" w:hAnsi="Times New Roman" w:eastAsia="Calibri" w:cs="Times New Roman"/>
      <w:color w:val="auto"/>
      <w:sz w:val="20"/>
      <w:szCs w:val="20"/>
      <w:vertAlign w:val="superscript"/>
    </w:rPr>
  </w:style>
  <w:style w:type="paragraph" w:styleId="Vnbnnidung1" w:customStyle="1">
    <w:name w:val="Văn bản nội dung"/>
    <w:basedOn w:val="Normal"/>
    <w:link w:val="Vnbnnidung"/>
    <w:qFormat/>
    <w:rsid w:val="003858ab"/>
    <w:pPr>
      <w:shd w:val="clear" w:color="auto" w:fill="FFFFFF"/>
      <w:spacing w:lineRule="auto" w:line="269" w:before="0" w:after="120"/>
      <w:ind w:firstLine="400"/>
      <w:jc w:val="both"/>
    </w:pPr>
    <w:rPr>
      <w:rFonts w:ascii="Times New Roman" w:hAnsi="Times New Roman" w:eastAsia="Aptos" w:cs="" w:cstheme="minorBidi" w:eastAsiaTheme="minorHAnsi"/>
      <w:color w:val="auto"/>
      <w:kern w:val="2"/>
      <w:sz w:val="28"/>
      <w:szCs w:val="28"/>
      <w:lang w:val="en-US" w:eastAsia="en-US"/>
      <w14:ligatures w14:val="standardContextual"/>
    </w:rPr>
  </w:style>
  <w:style w:type="paragraph" w:styleId="Normal1" w:customStyle="1">
    <w:name w:val="Normal1"/>
    <w:qFormat/>
    <w:rsid w:val="003858ab"/>
    <w:pPr>
      <w:widowControl/>
      <w:bidi w:val="0"/>
      <w:spacing w:lineRule="auto" w:line="276" w:before="0" w:after="200"/>
      <w:jc w:val="left"/>
    </w:pPr>
    <w:rPr>
      <w:rFonts w:ascii="Calibri" w:hAnsi="Calibri" w:eastAsia="Calibri" w:cs="Calibri"/>
      <w:color w:val="auto"/>
      <w:kern w:val="0"/>
      <w:sz w:val="22"/>
      <w:szCs w:val="22"/>
      <w:lang w:val="en-US" w:eastAsia="en-US" w:bidi="ar-SA"/>
      <w14:ligatures w14:val="none"/>
    </w:rPr>
  </w:style>
  <w:style w:type="paragraph" w:styleId="BodyTextIndent2">
    <w:name w:val="Body Text Indent 2"/>
    <w:basedOn w:val="Normal"/>
    <w:link w:val="BodyTextIndent2Char"/>
    <w:uiPriority w:val="99"/>
    <w:semiHidden/>
    <w:unhideWhenUsed/>
    <w:qFormat/>
    <w:rsid w:val="003858ab"/>
    <w:pPr>
      <w:spacing w:lineRule="auto" w:line="480" w:before="0" w:after="120"/>
      <w:ind w:left="360"/>
    </w:pPr>
    <w:rPr/>
  </w:style>
  <w:style w:type="paragraph" w:styleId="BalloonText">
    <w:name w:val="Balloon Text"/>
    <w:basedOn w:val="Normal"/>
    <w:link w:val="BalloonTextChar"/>
    <w:uiPriority w:val="99"/>
    <w:semiHidden/>
    <w:unhideWhenUsed/>
    <w:qFormat/>
    <w:rsid w:val="003858ab"/>
    <w:pPr/>
    <w:rPr>
      <w:rFonts w:ascii="Tahoma" w:hAnsi="Tahoma" w:cs="Tahoma"/>
      <w:sz w:val="16"/>
      <w:szCs w:val="16"/>
    </w:rPr>
  </w:style>
  <w:style w:type="paragraph" w:styleId="Revision">
    <w:name w:val="Revision"/>
    <w:uiPriority w:val="99"/>
    <w:semiHidden/>
    <w:qFormat/>
    <w:rsid w:val="003858ab"/>
    <w:pPr>
      <w:widowControl/>
      <w:bidi w:val="0"/>
      <w:spacing w:lineRule="auto" w:line="240" w:before="0" w:after="0"/>
      <w:jc w:val="left"/>
    </w:pPr>
    <w:rPr>
      <w:rFonts w:ascii="Courier New" w:hAnsi="Courier New" w:eastAsia="Times New Roman" w:cs="Courier New"/>
      <w:color w:val="000000"/>
      <w:kern w:val="0"/>
      <w:sz w:val="24"/>
      <w:szCs w:val="24"/>
      <w:lang w:val="vi-VN" w:eastAsia="vi-VN" w:bidi="ar-SA"/>
      <w14:ligatures w14:val="none"/>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 w:type="table" w:styleId="TableGrid">
    <w:name w:val="Table Grid"/>
    <w:basedOn w:val="TableNormal"/>
    <w:uiPriority w:val="39"/>
    <w:rsid w:val="003858ab"/>
    <w:pPr>
      <w:spacing w:after="0" w:line="240" w:lineRule="auto"/>
    </w:pPr>
    <w:rPr>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TableGrid1">
    <w:name w:val="Table Grid1"/>
    <w:basedOn w:val="TableNormal"/>
    <w:uiPriority w:val="39"/>
    <w:rsid w:val="003858ab"/>
    <w:pPr>
      <w:spacing w:after="0" w:line="240" w:lineRule="auto"/>
    </w:pPr>
    <w:rPr>
      <w:sz w:val="22"/>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footnotes" Target="footnotes.xml"/><Relationship Id="rId6" Type="http://schemas.openxmlformats.org/officeDocument/2006/relationships/fontTable" Target="fontTable.xml"/><Relationship Id="rId7" Type="http://schemas.openxmlformats.org/officeDocument/2006/relationships/settings" Target="settings.xml"/><Relationship Id="rId8" Type="http://schemas.openxmlformats.org/officeDocument/2006/relationships/theme" Target="theme/theme1.xml"/><Relationship Id="rId9" Type="http://schemas.openxmlformats.org/officeDocument/2006/relationships/customXml" Target="../customXml/item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pitchFamily="0" charset="1"/>
        <a:ea typeface=""/>
        <a:cs typeface=""/>
      </a:majorFont>
      <a:minorFont>
        <a:latin typeface="Aptos" panose="0211000402020202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40B6D3-E9A0-4992-9932-4D3E86CFED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Application>LibreOffice/26.2.5.2$Windows_X86_64 LibreOffice_project/cd7284b4cbbfeb507e630c1aac019f4157393acb</Application>
  <AppVersion>15.0000</AppVersion>
  <Pages>37</Pages>
  <Words>21551</Words>
  <Characters>77693</Characters>
  <CharactersWithSpaces>99033</CharactersWithSpaces>
  <Paragraphs>326</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2026-08-01T08:03:00Z</dcterms:created>
  <dc:creator>Administrator</dc:creator>
  <dc:description/>
  <dc:language>vi-VN</dc:language>
  <cp:lastModifiedBy>7.Nguyen Dieu Anh</cp:lastModifiedBy>
  <cp:lastPrinted>2026-07-31T09:56:00Z</cp:lastPrinted>
  <dcterms:modified xsi:type="dcterms:W3CDTF">2026-08-02T04:44:00Z</dcterms:modified>
  <cp:revision>10</cp:revision>
  <dc:subject/>
  <dc:title/>
</cp:coreProperties>
</file>

<file path=docProps/custom.xml><?xml version="1.0" encoding="utf-8"?>
<Properties xmlns="http://schemas.openxmlformats.org/officeDocument/2006/custom-properties" xmlns:vt="http://schemas.openxmlformats.org/officeDocument/2006/docPropsVTypes"/>
</file>